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D4" w:rsidRPr="00342D4A" w:rsidRDefault="000D6ECF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2"/>
        </w:rPr>
      </w:pPr>
      <w:r w:rsidRPr="00342D4A">
        <w:rPr>
          <w:rFonts w:ascii="Arial" w:eastAsia="Times New Roman" w:hAnsi="Arial" w:cs="Arial"/>
          <w:b/>
          <w:color w:val="000000"/>
          <w:szCs w:val="22"/>
        </w:rPr>
        <w:t xml:space="preserve">¿Qué sabemos sobre las </w:t>
      </w:r>
      <w:r w:rsidR="00AB0155" w:rsidRPr="00342D4A">
        <w:rPr>
          <w:rFonts w:ascii="Arial" w:eastAsia="Times New Roman" w:hAnsi="Arial" w:cs="Arial"/>
          <w:b/>
          <w:color w:val="000000"/>
          <w:szCs w:val="22"/>
        </w:rPr>
        <w:t xml:space="preserve">enfermedades infecciosas? </w:t>
      </w:r>
    </w:p>
    <w:p w:rsidR="00CF6B1C" w:rsidRPr="00342D4A" w:rsidRDefault="00AB0155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2"/>
        </w:rPr>
      </w:pPr>
      <w:r w:rsidRPr="00342D4A">
        <w:rPr>
          <w:rFonts w:ascii="Arial" w:eastAsia="Times New Roman" w:hAnsi="Arial" w:cs="Arial"/>
          <w:b/>
          <w:color w:val="000000"/>
          <w:szCs w:val="22"/>
        </w:rPr>
        <w:t xml:space="preserve">Una revisión </w:t>
      </w:r>
      <w:bookmarkStart w:id="0" w:name="_GoBack"/>
      <w:bookmarkEnd w:id="0"/>
      <w:r w:rsidRPr="00342D4A">
        <w:rPr>
          <w:rFonts w:ascii="Arial" w:eastAsia="Times New Roman" w:hAnsi="Arial" w:cs="Arial"/>
          <w:b/>
          <w:color w:val="000000"/>
          <w:szCs w:val="22"/>
        </w:rPr>
        <w:t xml:space="preserve">de la transición </w:t>
      </w:r>
      <w:r w:rsidR="000D6ECF" w:rsidRPr="00342D4A">
        <w:rPr>
          <w:rFonts w:ascii="Arial" w:eastAsia="Times New Roman" w:hAnsi="Arial" w:cs="Arial"/>
          <w:b/>
          <w:color w:val="000000"/>
          <w:szCs w:val="22"/>
        </w:rPr>
        <w:t>epidemiológica</w:t>
      </w:r>
      <w:r w:rsidR="000D6ECF" w:rsidRPr="00342D4A">
        <w:rPr>
          <w:rFonts w:ascii="Arial" w:eastAsia="Times New Roman" w:hAnsi="Arial" w:cs="Arial"/>
          <w:b/>
          <w:szCs w:val="22"/>
        </w:rPr>
        <w:t xml:space="preserve"> ante la crisis por COVID-19.</w:t>
      </w:r>
    </w:p>
    <w:p w:rsidR="00CF6B1C" w:rsidRPr="00342D4A" w:rsidRDefault="00CF6B1C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2"/>
        </w:rPr>
      </w:pPr>
    </w:p>
    <w:p w:rsidR="00ED7E15" w:rsidRPr="00342D4A" w:rsidRDefault="000D6ECF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r w:rsidRPr="00342D4A">
        <w:rPr>
          <w:rFonts w:ascii="Arial" w:eastAsia="Times New Roman" w:hAnsi="Arial" w:cs="Arial"/>
          <w:color w:val="000000"/>
          <w:szCs w:val="22"/>
        </w:rPr>
        <w:t xml:space="preserve">Desde los años 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>cuarenta del XX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los avances generados en salud han dado cuenta del impacto en el descenso de la mortalidad general debido, en gran parte, a la reducción de la mortalidad en las personas más jóvenes (CEPAL, 2020), trasladándose a edades cada vez más avanzadas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1"/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t>-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2"/>
      </w:r>
      <w:r w:rsidRPr="00342D4A">
        <w:rPr>
          <w:rFonts w:ascii="Arial" w:eastAsia="Times New Roman" w:hAnsi="Arial" w:cs="Arial"/>
          <w:color w:val="000000"/>
          <w:szCs w:val="22"/>
        </w:rPr>
        <w:t xml:space="preserve"> (González, 2014)</w:t>
      </w:r>
      <w:sdt>
        <w:sdtPr>
          <w:rPr>
            <w:rFonts w:ascii="Arial" w:hAnsi="Arial" w:cs="Arial"/>
            <w:szCs w:val="22"/>
          </w:rPr>
          <w:tag w:val="goog_rdk_0"/>
          <w:id w:val="2062290743"/>
        </w:sdtPr>
        <w:sdtContent/>
      </w:sdt>
      <w:r w:rsidRPr="00342D4A">
        <w:rPr>
          <w:rFonts w:ascii="Arial" w:eastAsia="Times New Roman" w:hAnsi="Arial" w:cs="Arial"/>
          <w:color w:val="000000"/>
          <w:szCs w:val="22"/>
        </w:rPr>
        <w:t xml:space="preserve">. </w:t>
      </w:r>
    </w:p>
    <w:p w:rsidR="00185296" w:rsidRPr="00342D4A" w:rsidRDefault="00ED7E15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" w:hAnsi="Arial" w:cs="Arial"/>
          <w:color w:val="000000"/>
          <w:szCs w:val="22"/>
        </w:rPr>
      </w:pPr>
      <w:r w:rsidRPr="00342D4A">
        <w:rPr>
          <w:rFonts w:ascii="Arial" w:eastAsia="Times New Roman" w:hAnsi="Arial" w:cs="Arial"/>
          <w:color w:val="000000"/>
          <w:szCs w:val="22"/>
        </w:rPr>
        <w:t>El estudio de l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os fenómenos poblacionales </w:t>
      </w:r>
      <w:r w:rsidRPr="00342D4A">
        <w:rPr>
          <w:rFonts w:ascii="Arial" w:eastAsia="Times New Roman" w:hAnsi="Arial" w:cs="Arial"/>
          <w:color w:val="000000"/>
          <w:szCs w:val="22"/>
        </w:rPr>
        <w:t>ha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sido objeto tradicionalmente de la </w:t>
      </w:r>
      <w:r w:rsidR="000D6ECF" w:rsidRPr="00342D4A">
        <w:rPr>
          <w:rFonts w:ascii="Arial" w:eastAsia="Times New Roman" w:hAnsi="Arial" w:cs="Arial"/>
          <w:szCs w:val="22"/>
        </w:rPr>
        <w:t>demografía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, pero también </w:t>
      </w:r>
      <w:r w:rsidR="000D6ECF" w:rsidRPr="00342D4A">
        <w:rPr>
          <w:rFonts w:ascii="Arial" w:eastAsia="Times New Roman" w:hAnsi="Arial" w:cs="Arial"/>
          <w:szCs w:val="22"/>
        </w:rPr>
        <w:t>de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la epidemiología, 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siendo aquella compleja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estructura 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 xml:space="preserve">en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do</w:t>
      </w:r>
      <w:r w:rsidRPr="00342D4A">
        <w:rPr>
          <w:rFonts w:ascii="Arial" w:eastAsia="Times New Roman" w:hAnsi="Arial" w:cs="Arial"/>
          <w:color w:val="000000"/>
          <w:szCs w:val="22"/>
        </w:rPr>
        <w:t>nde se expresa la salud pública. De mane</w:t>
      </w:r>
      <w:r w:rsidR="00E05A46" w:rsidRPr="00342D4A">
        <w:rPr>
          <w:rFonts w:ascii="Arial" w:eastAsia="Times New Roman" w:hAnsi="Arial" w:cs="Arial"/>
          <w:color w:val="000000"/>
          <w:szCs w:val="22"/>
        </w:rPr>
        <w:t>ra que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l</w:t>
      </w:r>
      <w:r w:rsidR="000D6ECF" w:rsidRPr="00342D4A">
        <w:rPr>
          <w:rFonts w:ascii="Arial" w:eastAsia="Times" w:hAnsi="Arial" w:cs="Arial"/>
          <w:color w:val="000000"/>
          <w:szCs w:val="22"/>
        </w:rPr>
        <w:t>a teoría de la transición epidemiológica (TE)</w:t>
      </w:r>
      <w:r w:rsidR="00E05A46" w:rsidRPr="00342D4A">
        <w:rPr>
          <w:rFonts w:ascii="Arial" w:eastAsia="Times" w:hAnsi="Arial" w:cs="Arial"/>
          <w:color w:val="000000"/>
          <w:szCs w:val="22"/>
        </w:rPr>
        <w:t>,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tuvo sus raíces en </w:t>
      </w:r>
      <w:r w:rsidR="00E05A46" w:rsidRPr="00342D4A">
        <w:rPr>
          <w:rFonts w:ascii="Arial" w:eastAsia="Times" w:hAnsi="Arial" w:cs="Arial"/>
          <w:color w:val="000000"/>
          <w:szCs w:val="22"/>
        </w:rPr>
        <w:t xml:space="preserve">los </w:t>
      </w:r>
      <w:r w:rsidR="000D6ECF" w:rsidRPr="00342D4A">
        <w:rPr>
          <w:rFonts w:ascii="Arial" w:eastAsia="Times" w:hAnsi="Arial" w:cs="Arial"/>
          <w:color w:val="000000"/>
          <w:szCs w:val="22"/>
        </w:rPr>
        <w:t>análisis demográficos</w:t>
      </w:r>
      <w:r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0D6ECF" w:rsidRPr="00342D4A">
        <w:rPr>
          <w:rFonts w:ascii="Arial" w:eastAsia="Times" w:hAnsi="Arial" w:cs="Arial"/>
          <w:color w:val="000000"/>
          <w:szCs w:val="22"/>
        </w:rPr>
        <w:t>realizado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s en la década de 1940, </w:t>
      </w:r>
      <w:r w:rsidR="00E05A46" w:rsidRPr="00342D4A">
        <w:rPr>
          <w:rFonts w:ascii="Arial" w:eastAsia="Times" w:hAnsi="Arial" w:cs="Arial"/>
          <w:color w:val="000000"/>
          <w:szCs w:val="22"/>
        </w:rPr>
        <w:t>que pretendían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explicar los descensos en la mortalidad</w:t>
      </w:r>
      <w:r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0D6ECF" w:rsidRPr="00342D4A">
        <w:rPr>
          <w:rFonts w:ascii="Arial" w:eastAsia="Times" w:hAnsi="Arial" w:cs="Arial"/>
          <w:color w:val="000000"/>
          <w:szCs w:val="22"/>
        </w:rPr>
        <w:t>registrados en Europa en los últimos 200 años (</w:t>
      </w:r>
      <w:proofErr w:type="spellStart"/>
      <w:r w:rsidR="000D6ECF" w:rsidRPr="00342D4A">
        <w:rPr>
          <w:rFonts w:ascii="Arial" w:eastAsia="Times" w:hAnsi="Arial" w:cs="Arial"/>
          <w:color w:val="000000"/>
          <w:szCs w:val="22"/>
        </w:rPr>
        <w:t>Chen</w:t>
      </w:r>
      <w:proofErr w:type="spellEnd"/>
      <w:r w:rsidR="000D6ECF" w:rsidRPr="00342D4A">
        <w:rPr>
          <w:rFonts w:ascii="Arial" w:eastAsia="Times" w:hAnsi="Arial" w:cs="Arial"/>
          <w:color w:val="000000"/>
          <w:szCs w:val="22"/>
        </w:rPr>
        <w:t>, et al., 1998).</w:t>
      </w:r>
      <w:r w:rsidRPr="00342D4A">
        <w:rPr>
          <w:rFonts w:ascii="Arial" w:eastAsia="Times" w:hAnsi="Arial" w:cs="Arial"/>
          <w:color w:val="000000"/>
          <w:szCs w:val="22"/>
        </w:rPr>
        <w:t xml:space="preserve"> </w:t>
      </w:r>
      <w:proofErr w:type="spellStart"/>
      <w:r w:rsidR="00E05A46" w:rsidRPr="00342D4A">
        <w:rPr>
          <w:rFonts w:ascii="Arial" w:eastAsia="Times" w:hAnsi="Arial" w:cs="Arial"/>
          <w:color w:val="000000"/>
          <w:szCs w:val="22"/>
        </w:rPr>
        <w:t>Omran</w:t>
      </w:r>
      <w:proofErr w:type="spellEnd"/>
      <w:r w:rsidR="00E05A46"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Pr="00342D4A">
        <w:rPr>
          <w:rFonts w:ascii="Arial" w:eastAsia="Times" w:hAnsi="Arial" w:cs="Arial"/>
          <w:color w:val="000000"/>
          <w:szCs w:val="22"/>
        </w:rPr>
        <w:t>describió</w:t>
      </w:r>
      <w:r w:rsidR="00E05A46" w:rsidRPr="00342D4A">
        <w:rPr>
          <w:rFonts w:ascii="Arial" w:eastAsia="Times" w:hAnsi="Arial" w:cs="Arial"/>
          <w:color w:val="000000"/>
          <w:szCs w:val="22"/>
        </w:rPr>
        <w:t xml:space="preserve"> aquella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E05A46" w:rsidRPr="00342D4A">
        <w:rPr>
          <w:rFonts w:ascii="Arial" w:eastAsia="Times" w:hAnsi="Arial" w:cs="Arial"/>
          <w:color w:val="000000"/>
          <w:szCs w:val="22"/>
        </w:rPr>
        <w:t>situación en 1971</w:t>
      </w:r>
      <w:r w:rsidR="00E05A46" w:rsidRPr="00342D4A">
        <w:rPr>
          <w:rFonts w:ascii="Arial" w:eastAsia="Times" w:hAnsi="Arial" w:cs="Arial"/>
          <w:color w:val="000000"/>
          <w:szCs w:val="22"/>
          <w:vertAlign w:val="superscript"/>
        </w:rPr>
        <w:footnoteReference w:id="3"/>
      </w:r>
      <w:r w:rsidR="00E05A46" w:rsidRPr="00342D4A">
        <w:rPr>
          <w:rFonts w:ascii="Arial" w:eastAsia="Times" w:hAnsi="Arial" w:cs="Arial"/>
          <w:color w:val="000000"/>
          <w:szCs w:val="22"/>
        </w:rPr>
        <w:t xml:space="preserve">,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como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el paso de un viejo patrón de comporta</w:t>
      </w:r>
      <w:r w:rsidR="000D6ECF" w:rsidRPr="00342D4A">
        <w:rPr>
          <w:rFonts w:ascii="Arial" w:eastAsia="Times New Roman" w:hAnsi="Arial" w:cs="Arial"/>
          <w:szCs w:val="22"/>
        </w:rPr>
        <w:t>miento poblacional,</w:t>
      </w:r>
      <w:r w:rsidR="00E05A46"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caracterizado por una elevada mortalidad –sobre todo infantil–, producto de las enfermedades infecciosas y la desnutrición, hacia un nuevo perfil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>.</w:t>
      </w:r>
      <w:r w:rsidRPr="00342D4A">
        <w:rPr>
          <w:rStyle w:val="Refdenotaalpie"/>
          <w:rFonts w:ascii="Arial" w:eastAsia="Times" w:hAnsi="Arial" w:cs="Arial"/>
          <w:color w:val="000000"/>
          <w:szCs w:val="22"/>
        </w:rPr>
        <w:footnoteReference w:id="4"/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0D6ECF" w:rsidRPr="00342D4A">
        <w:rPr>
          <w:rFonts w:ascii="Arial" w:eastAsia="Times New Roman" w:hAnsi="Arial" w:cs="Arial"/>
          <w:szCs w:val="22"/>
        </w:rPr>
        <w:t>Este último, se caracteriza</w:t>
      </w:r>
      <w:r w:rsidR="00C77032" w:rsidRPr="00342D4A">
        <w:rPr>
          <w:rFonts w:ascii="Arial" w:eastAsia="Times New Roman" w:hAnsi="Arial" w:cs="Arial"/>
          <w:szCs w:val="22"/>
        </w:rPr>
        <w:t>ba</w:t>
      </w:r>
      <w:r w:rsidR="000D6ECF" w:rsidRPr="00342D4A">
        <w:rPr>
          <w:rFonts w:ascii="Arial" w:eastAsia="Times New Roman" w:hAnsi="Arial" w:cs="Arial"/>
          <w:szCs w:val="22"/>
        </w:rPr>
        <w:t xml:space="preserve"> por una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disminu</w:t>
      </w:r>
      <w:r w:rsidR="000D6ECF" w:rsidRPr="00342D4A">
        <w:rPr>
          <w:rFonts w:ascii="Arial" w:eastAsia="Times New Roman" w:hAnsi="Arial" w:cs="Arial"/>
          <w:szCs w:val="22"/>
        </w:rPr>
        <w:t>ción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notable de la mortalidad, siendo las enfermedades endógenas o crónicas las principales causas de defunción (</w:t>
      </w:r>
      <w:proofErr w:type="spellStart"/>
      <w:r w:rsidR="000D6ECF" w:rsidRPr="00342D4A">
        <w:rPr>
          <w:rFonts w:ascii="Arial" w:eastAsia="Times New Roman" w:hAnsi="Arial" w:cs="Arial"/>
          <w:color w:val="000000"/>
          <w:szCs w:val="22"/>
        </w:rPr>
        <w:t>Omran</w:t>
      </w:r>
      <w:proofErr w:type="spellEnd"/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, 1971), en </w:t>
      </w:r>
      <w:r w:rsidR="000D6ECF" w:rsidRPr="00342D4A">
        <w:rPr>
          <w:rFonts w:ascii="Arial" w:eastAsia="Times New Roman" w:hAnsi="Arial" w:cs="Arial"/>
          <w:szCs w:val="22"/>
        </w:rPr>
        <w:t>simultáneo</w:t>
      </w:r>
      <w:r w:rsidR="00C77032" w:rsidRPr="00342D4A">
        <w:rPr>
          <w:rFonts w:ascii="Arial" w:eastAsia="Times New Roman" w:hAnsi="Arial" w:cs="Arial"/>
          <w:color w:val="000000"/>
          <w:szCs w:val="22"/>
        </w:rPr>
        <w:t xml:space="preserve"> con un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descenso de la mortalidad por enfermedades infecciosas (Robles González, et al., 1996). Así el aumento de la esper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>anza de vida viene acompañado por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mayor presencia de enfermedades menos mortales pero que se padecen crónicamente durante etapas prolongadas de la vida –se combina mortalidad decreciente con morbilidad creciente–</w:t>
      </w:r>
      <w:r w:rsidR="000D6ECF"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5"/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.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La propuesta de </w:t>
      </w:r>
      <w:proofErr w:type="spellStart"/>
      <w:r w:rsidR="000D6ECF" w:rsidRPr="00342D4A">
        <w:rPr>
          <w:rFonts w:ascii="Arial" w:eastAsia="Times" w:hAnsi="Arial" w:cs="Arial"/>
          <w:color w:val="000000"/>
          <w:szCs w:val="22"/>
        </w:rPr>
        <w:t>Omran</w:t>
      </w:r>
      <w:proofErr w:type="spellEnd"/>
      <w:r w:rsidR="000D6ECF" w:rsidRPr="00342D4A">
        <w:rPr>
          <w:rFonts w:ascii="Arial" w:eastAsia="Times" w:hAnsi="Arial" w:cs="Arial"/>
          <w:color w:val="000000"/>
          <w:szCs w:val="22"/>
        </w:rPr>
        <w:t xml:space="preserve"> se transformó en la </w:t>
      </w:r>
      <w:r w:rsidR="000D6ECF" w:rsidRPr="00342D4A">
        <w:rPr>
          <w:rFonts w:ascii="Arial" w:eastAsia="Times" w:hAnsi="Arial" w:cs="Arial"/>
          <w:color w:val="000000"/>
          <w:szCs w:val="22"/>
        </w:rPr>
        <w:lastRenderedPageBreak/>
        <w:t xml:space="preserve">principal dentro de la TE  (Gómez, 2001), 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primeramente se componía </w:t>
      </w:r>
      <w:r w:rsidR="00EE5CF2" w:rsidRPr="00342D4A">
        <w:rPr>
          <w:rFonts w:ascii="Arial" w:eastAsia="Times" w:hAnsi="Arial" w:cs="Arial"/>
          <w:color w:val="000000"/>
          <w:szCs w:val="22"/>
        </w:rPr>
        <w:t>de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 tres fases</w:t>
      </w:r>
      <w:r w:rsidR="000D6ECF" w:rsidRPr="00342D4A">
        <w:rPr>
          <w:rFonts w:ascii="Arial" w:eastAsia="Times" w:hAnsi="Arial" w:cs="Arial"/>
          <w:color w:val="000000"/>
          <w:szCs w:val="22"/>
        </w:rPr>
        <w:t>,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 y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E05A46" w:rsidRPr="00342D4A">
        <w:rPr>
          <w:rFonts w:ascii="Arial" w:eastAsia="Times" w:hAnsi="Arial" w:cs="Arial"/>
          <w:color w:val="000000"/>
          <w:szCs w:val="22"/>
        </w:rPr>
        <w:t>luego agrego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una cuarta fase:</w:t>
      </w:r>
    </w:p>
    <w:p w:rsidR="00CF6B1C" w:rsidRPr="00342D4A" w:rsidRDefault="00E05A46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" w:eastAsia="Times" w:hAnsi="Arial" w:cs="Arial"/>
          <w:color w:val="000000"/>
          <w:szCs w:val="22"/>
        </w:rPr>
      </w:pPr>
      <w:r w:rsidRPr="00342D4A">
        <w:rPr>
          <w:rFonts w:ascii="Arial" w:eastAsia="Times" w:hAnsi="Arial" w:cs="Arial"/>
          <w:color w:val="000000"/>
          <w:szCs w:val="22"/>
        </w:rPr>
        <w:t xml:space="preserve">1.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La edad de la pestilencia y el hambre: la casi totalidad de las causas de muerte se debían a epidemias y al hambre, producto de las enfermedades infecciosas y carenciales. </w:t>
      </w:r>
    </w:p>
    <w:p w:rsidR="00CF6B1C" w:rsidRPr="00342D4A" w:rsidRDefault="00E05A46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" w:eastAsia="Times" w:hAnsi="Arial" w:cs="Arial"/>
          <w:color w:val="000000"/>
          <w:szCs w:val="22"/>
        </w:rPr>
      </w:pPr>
      <w:r w:rsidRPr="00342D4A">
        <w:rPr>
          <w:rFonts w:ascii="Arial" w:eastAsia="Times" w:hAnsi="Arial" w:cs="Arial"/>
          <w:color w:val="000000"/>
          <w:szCs w:val="22"/>
        </w:rPr>
        <w:t xml:space="preserve">2.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La edad de la retracción de las pandemias: 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el incremento </w:t>
      </w:r>
      <w:r w:rsidR="000D6ECF" w:rsidRPr="00342D4A">
        <w:rPr>
          <w:rFonts w:ascii="Arial" w:eastAsia="Times" w:hAnsi="Arial" w:cs="Arial"/>
          <w:color w:val="000000"/>
          <w:szCs w:val="22"/>
        </w:rPr>
        <w:t>de la esperanza de vida al nacer, conlleva un aumento relativo de las enfer</w:t>
      </w:r>
      <w:r w:rsidR="00C77032" w:rsidRPr="00342D4A">
        <w:rPr>
          <w:rFonts w:ascii="Arial" w:eastAsia="Times" w:hAnsi="Arial" w:cs="Arial"/>
          <w:color w:val="000000"/>
          <w:szCs w:val="22"/>
        </w:rPr>
        <w:t>medades degenerativas, y una disminución de las muertes por enfermedades infecciosas.</w:t>
      </w:r>
    </w:p>
    <w:p w:rsidR="00CF6B1C" w:rsidRPr="00342D4A" w:rsidRDefault="00E05A46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" w:eastAsia="Times" w:hAnsi="Arial" w:cs="Arial"/>
          <w:color w:val="000000"/>
          <w:szCs w:val="22"/>
        </w:rPr>
      </w:pPr>
      <w:r w:rsidRPr="00342D4A">
        <w:rPr>
          <w:rFonts w:ascii="Arial" w:eastAsia="Times" w:hAnsi="Arial" w:cs="Arial"/>
          <w:color w:val="000000"/>
          <w:szCs w:val="22"/>
        </w:rPr>
        <w:t xml:space="preserve">3.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La edad de las enfermedades degenerativas y causadas por el hombre: 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en </w:t>
      </w:r>
      <w:proofErr w:type="gramStart"/>
      <w:r w:rsidR="00C77032" w:rsidRPr="00342D4A">
        <w:rPr>
          <w:rFonts w:ascii="Arial" w:eastAsia="Times" w:hAnsi="Arial" w:cs="Arial"/>
          <w:color w:val="000000"/>
          <w:szCs w:val="22"/>
        </w:rPr>
        <w:t>este</w:t>
      </w:r>
      <w:proofErr w:type="gramEnd"/>
      <w:r w:rsidR="00C77032" w:rsidRPr="00342D4A">
        <w:rPr>
          <w:rFonts w:ascii="Arial" w:eastAsia="Times" w:hAnsi="Arial" w:cs="Arial"/>
          <w:color w:val="000000"/>
          <w:szCs w:val="22"/>
        </w:rPr>
        <w:t xml:space="preserve"> etapa predominan las </w:t>
      </w:r>
      <w:r w:rsidR="000D6ECF" w:rsidRPr="00342D4A">
        <w:rPr>
          <w:rFonts w:ascii="Arial" w:eastAsia="Times" w:hAnsi="Arial" w:cs="Arial"/>
          <w:color w:val="000000"/>
          <w:szCs w:val="22"/>
        </w:rPr>
        <w:t>enferme</w:t>
      </w:r>
      <w:r w:rsidR="00C77032" w:rsidRPr="00342D4A">
        <w:rPr>
          <w:rFonts w:ascii="Arial" w:eastAsia="Times" w:hAnsi="Arial" w:cs="Arial"/>
          <w:color w:val="000000"/>
          <w:szCs w:val="22"/>
        </w:rPr>
        <w:t xml:space="preserve">dades crónicas y </w:t>
      </w:r>
      <w:proofErr w:type="spellStart"/>
      <w:r w:rsidR="00C77032" w:rsidRPr="00342D4A">
        <w:rPr>
          <w:rFonts w:ascii="Arial" w:eastAsia="Times" w:hAnsi="Arial" w:cs="Arial"/>
          <w:color w:val="000000"/>
          <w:szCs w:val="22"/>
        </w:rPr>
        <w:t>sociopatógenas</w:t>
      </w:r>
      <w:proofErr w:type="spellEnd"/>
      <w:r w:rsidR="00C77032" w:rsidRPr="00342D4A">
        <w:rPr>
          <w:rFonts w:ascii="Arial" w:eastAsia="Times" w:hAnsi="Arial" w:cs="Arial"/>
          <w:color w:val="000000"/>
          <w:szCs w:val="22"/>
        </w:rPr>
        <w:t xml:space="preserve">, </w:t>
      </w:r>
      <w:r w:rsidR="00185296" w:rsidRPr="00342D4A">
        <w:rPr>
          <w:rFonts w:ascii="Arial" w:eastAsia="Times" w:hAnsi="Arial" w:cs="Arial"/>
          <w:color w:val="000000"/>
          <w:szCs w:val="22"/>
        </w:rPr>
        <w:t xml:space="preserve">mientras la esperanza de vida mantiene una tendencia creciente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</w:t>
      </w:r>
    </w:p>
    <w:p w:rsidR="00CF6B1C" w:rsidRPr="00342D4A" w:rsidRDefault="00E05A46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rFonts w:ascii="Arial" w:eastAsia="Times" w:hAnsi="Arial" w:cs="Arial"/>
          <w:color w:val="000000"/>
          <w:szCs w:val="22"/>
        </w:rPr>
      </w:pPr>
      <w:r w:rsidRPr="00342D4A">
        <w:rPr>
          <w:rFonts w:ascii="Arial" w:eastAsia="Times" w:hAnsi="Arial" w:cs="Arial"/>
          <w:color w:val="000000"/>
          <w:szCs w:val="22"/>
        </w:rPr>
        <w:t xml:space="preserve">4. 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La edad de las enfermedades sociales, accidentes y otras formas </w:t>
      </w:r>
      <w:r w:rsidR="00185296" w:rsidRPr="00342D4A">
        <w:rPr>
          <w:rFonts w:ascii="Arial" w:eastAsia="Times" w:hAnsi="Arial" w:cs="Arial"/>
          <w:color w:val="000000"/>
          <w:szCs w:val="22"/>
        </w:rPr>
        <w:t>violentas de muerte: disminuyen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 las patol</w:t>
      </w:r>
      <w:r w:rsidR="00185296" w:rsidRPr="00342D4A">
        <w:rPr>
          <w:rFonts w:ascii="Arial" w:eastAsia="Times" w:hAnsi="Arial" w:cs="Arial"/>
          <w:color w:val="000000"/>
          <w:szCs w:val="22"/>
        </w:rPr>
        <w:t xml:space="preserve">ogías crónicas y degenerativas 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>–</w:t>
      </w:r>
      <w:r w:rsidR="000D6ECF" w:rsidRPr="00342D4A">
        <w:rPr>
          <w:rFonts w:ascii="Arial" w:eastAsia="Times" w:hAnsi="Arial" w:cs="Arial"/>
          <w:color w:val="000000"/>
          <w:szCs w:val="22"/>
        </w:rPr>
        <w:t xml:space="preserve">enfermedades cardiovasculares y </w:t>
      </w:r>
      <w:proofErr w:type="spellStart"/>
      <w:r w:rsidR="000D6ECF" w:rsidRPr="00342D4A">
        <w:rPr>
          <w:rFonts w:ascii="Arial" w:eastAsia="Times" w:hAnsi="Arial" w:cs="Arial"/>
          <w:color w:val="000000"/>
          <w:szCs w:val="22"/>
        </w:rPr>
        <w:t>cerebrovasculares</w:t>
      </w:r>
      <w:proofErr w:type="spellEnd"/>
      <w:r w:rsidR="000D6ECF" w:rsidRPr="00342D4A">
        <w:rPr>
          <w:rFonts w:ascii="Arial" w:eastAsia="Times" w:hAnsi="Arial" w:cs="Arial"/>
          <w:color w:val="000000"/>
          <w:szCs w:val="22"/>
        </w:rPr>
        <w:t xml:space="preserve">, </w:t>
      </w:r>
      <w:r w:rsidR="00185296" w:rsidRPr="00342D4A">
        <w:rPr>
          <w:rFonts w:ascii="Arial" w:eastAsia="Times" w:hAnsi="Arial" w:cs="Arial"/>
          <w:color w:val="000000"/>
          <w:szCs w:val="22"/>
        </w:rPr>
        <w:t>y otras degenerativas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>–</w:t>
      </w:r>
      <w:r w:rsidR="00185296"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0D6ECF" w:rsidRPr="00342D4A">
        <w:rPr>
          <w:rFonts w:ascii="Arial" w:eastAsia="Times" w:hAnsi="Arial" w:cs="Arial"/>
          <w:color w:val="000000"/>
          <w:szCs w:val="22"/>
        </w:rPr>
        <w:t>y</w:t>
      </w:r>
      <w:r w:rsidR="00185296" w:rsidRPr="00342D4A">
        <w:rPr>
          <w:rFonts w:ascii="Arial" w:eastAsia="Times" w:hAnsi="Arial" w:cs="Arial"/>
          <w:color w:val="000000"/>
          <w:szCs w:val="22"/>
        </w:rPr>
        <w:t xml:space="preserve"> se incrementan </w:t>
      </w:r>
      <w:r w:rsidR="000D6ECF" w:rsidRPr="00342D4A">
        <w:rPr>
          <w:rFonts w:ascii="Arial" w:eastAsia="Times" w:hAnsi="Arial" w:cs="Arial"/>
          <w:color w:val="000000"/>
          <w:szCs w:val="22"/>
        </w:rPr>
        <w:t>las enfermeda</w:t>
      </w:r>
      <w:r w:rsidR="00EE5CF2" w:rsidRPr="00342D4A">
        <w:rPr>
          <w:rFonts w:ascii="Arial" w:eastAsia="Times" w:hAnsi="Arial" w:cs="Arial"/>
          <w:color w:val="000000"/>
          <w:szCs w:val="22"/>
        </w:rPr>
        <w:t>des sociales</w:t>
      </w:r>
      <w:r w:rsidRPr="00342D4A">
        <w:rPr>
          <w:rFonts w:ascii="Arial" w:eastAsia="Times New Roman" w:hAnsi="Arial" w:cs="Arial"/>
          <w:color w:val="242021"/>
          <w:szCs w:val="22"/>
          <w:vertAlign w:val="superscript"/>
        </w:rPr>
        <w:footnoteReference w:id="6"/>
      </w:r>
      <w:r w:rsidR="00EE5CF2" w:rsidRPr="00342D4A">
        <w:rPr>
          <w:rFonts w:ascii="Arial" w:eastAsia="Times" w:hAnsi="Arial" w:cs="Arial"/>
          <w:color w:val="000000"/>
          <w:szCs w:val="22"/>
        </w:rPr>
        <w:t xml:space="preserve"> </w:t>
      </w:r>
      <w:r w:rsidR="00EE5CF2" w:rsidRPr="00342D4A">
        <w:rPr>
          <w:rFonts w:ascii="Arial" w:hAnsi="Arial" w:cs="Arial"/>
          <w:szCs w:val="22"/>
        </w:rPr>
        <w:t>(</w:t>
      </w:r>
      <w:proofErr w:type="spellStart"/>
      <w:r w:rsidR="00EE5CF2" w:rsidRPr="00342D4A">
        <w:rPr>
          <w:rFonts w:ascii="Arial" w:hAnsi="Arial" w:cs="Arial"/>
          <w:szCs w:val="22"/>
        </w:rPr>
        <w:t>Riverón</w:t>
      </w:r>
      <w:proofErr w:type="spellEnd"/>
      <w:r w:rsidR="00EE5CF2" w:rsidRPr="00342D4A">
        <w:rPr>
          <w:rFonts w:ascii="Arial" w:hAnsi="Arial" w:cs="Arial"/>
          <w:szCs w:val="22"/>
        </w:rPr>
        <w:t xml:space="preserve"> </w:t>
      </w:r>
      <w:proofErr w:type="spellStart"/>
      <w:r w:rsidR="00EE5CF2" w:rsidRPr="00342D4A">
        <w:rPr>
          <w:rFonts w:ascii="Arial" w:hAnsi="Arial" w:cs="Arial"/>
          <w:szCs w:val="22"/>
        </w:rPr>
        <w:t>Corteguera</w:t>
      </w:r>
      <w:proofErr w:type="spellEnd"/>
      <w:r w:rsidR="00EE5CF2" w:rsidRPr="00342D4A">
        <w:rPr>
          <w:rFonts w:ascii="Arial" w:hAnsi="Arial" w:cs="Arial"/>
          <w:szCs w:val="22"/>
        </w:rPr>
        <w:t>, 2002).</w:t>
      </w:r>
    </w:p>
    <w:p w:rsidR="00EE5CF2" w:rsidRPr="00342D4A" w:rsidRDefault="00EE5CF2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Cs w:val="22"/>
        </w:rPr>
      </w:pPr>
    </w:p>
    <w:p w:rsidR="00E05A46" w:rsidRPr="00342D4A" w:rsidRDefault="00B773D4" w:rsidP="00342D4A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El crecimiento conti</w:t>
      </w:r>
      <w:r w:rsidR="00185296" w:rsidRPr="00342D4A">
        <w:rPr>
          <w:rFonts w:ascii="Arial" w:eastAsia="Times New Roman" w:hAnsi="Arial" w:cs="Arial"/>
          <w:szCs w:val="22"/>
        </w:rPr>
        <w:t xml:space="preserve">nuo </w:t>
      </w:r>
      <w:r w:rsidR="000D6ECF" w:rsidRPr="00342D4A">
        <w:rPr>
          <w:rFonts w:ascii="Arial" w:eastAsia="Times New Roman" w:hAnsi="Arial" w:cs="Arial"/>
          <w:szCs w:val="22"/>
        </w:rPr>
        <w:t xml:space="preserve">en el número y proporción de personas mayores en las últimas décadas del siglo XX (Regidor, et al., 1994; </w:t>
      </w:r>
      <w:proofErr w:type="spellStart"/>
      <w:r w:rsidR="000D6ECF" w:rsidRPr="00342D4A">
        <w:rPr>
          <w:rFonts w:ascii="Arial" w:eastAsia="Times New Roman" w:hAnsi="Arial" w:cs="Arial"/>
          <w:szCs w:val="22"/>
        </w:rPr>
        <w:t>Goldstein</w:t>
      </w:r>
      <w:proofErr w:type="spellEnd"/>
      <w:r w:rsidR="000D6ECF" w:rsidRPr="00342D4A">
        <w:rPr>
          <w:rFonts w:ascii="Arial" w:eastAsia="Times New Roman" w:hAnsi="Arial" w:cs="Arial"/>
          <w:szCs w:val="22"/>
        </w:rPr>
        <w:t xml:space="preserve"> y </w:t>
      </w:r>
      <w:proofErr w:type="spellStart"/>
      <w:r w:rsidR="000D6ECF" w:rsidRPr="00342D4A">
        <w:rPr>
          <w:rFonts w:ascii="Arial" w:eastAsia="Times New Roman" w:hAnsi="Arial" w:cs="Arial"/>
          <w:szCs w:val="22"/>
        </w:rPr>
        <w:t>W</w:t>
      </w:r>
      <w:r w:rsidR="00185296" w:rsidRPr="00342D4A">
        <w:rPr>
          <w:rFonts w:ascii="Arial" w:eastAsia="Times New Roman" w:hAnsi="Arial" w:cs="Arial"/>
          <w:szCs w:val="22"/>
        </w:rPr>
        <w:t>achter</w:t>
      </w:r>
      <w:proofErr w:type="spellEnd"/>
      <w:r w:rsidR="00185296" w:rsidRPr="00342D4A">
        <w:rPr>
          <w:rFonts w:ascii="Arial" w:eastAsia="Times New Roman" w:hAnsi="Arial" w:cs="Arial"/>
          <w:szCs w:val="22"/>
        </w:rPr>
        <w:t xml:space="preserve">, 2006; </w:t>
      </w:r>
      <w:proofErr w:type="spellStart"/>
      <w:r w:rsidR="00185296" w:rsidRPr="00342D4A">
        <w:rPr>
          <w:rFonts w:ascii="Arial" w:eastAsia="Times New Roman" w:hAnsi="Arial" w:cs="Arial"/>
          <w:szCs w:val="22"/>
        </w:rPr>
        <w:t>Huenchuan</w:t>
      </w:r>
      <w:proofErr w:type="spellEnd"/>
      <w:r w:rsidR="00185296" w:rsidRPr="00342D4A">
        <w:rPr>
          <w:rFonts w:ascii="Arial" w:eastAsia="Times New Roman" w:hAnsi="Arial" w:cs="Arial"/>
          <w:szCs w:val="22"/>
        </w:rPr>
        <w:t>, 2018)</w:t>
      </w:r>
      <w:r w:rsidR="000D6ECF" w:rsidRPr="00342D4A">
        <w:rPr>
          <w:rFonts w:ascii="Arial" w:eastAsia="Times New Roman" w:hAnsi="Arial" w:cs="Arial"/>
          <w:szCs w:val="22"/>
        </w:rPr>
        <w:t xml:space="preserve">, sobre todo en las edades más avanzadas,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alimentar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>on la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>percepción social sobre la posibilidad de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 xml:space="preserve">erradicar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>las enfermedades</w:t>
      </w:r>
      <w:r w:rsidR="00185296" w:rsidRPr="00342D4A">
        <w:rPr>
          <w:rFonts w:ascii="Arial" w:eastAsia="Times New Roman" w:hAnsi="Arial" w:cs="Arial"/>
          <w:color w:val="000000"/>
          <w:szCs w:val="22"/>
        </w:rPr>
        <w:t xml:space="preserve"> infecciosas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 y, con más razón, las epidemias (Álvarez, 2020).</w:t>
      </w:r>
      <w:r w:rsidR="009B552F" w:rsidRPr="00342D4A">
        <w:rPr>
          <w:rFonts w:ascii="Arial" w:eastAsia="Times New Roman" w:hAnsi="Arial" w:cs="Arial"/>
          <w:color w:val="000000"/>
          <w:szCs w:val="22"/>
        </w:rPr>
        <w:t xml:space="preserve"> En correspondencia,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la máxima autoridad médica de </w:t>
      </w:r>
      <w:r w:rsidRPr="00342D4A">
        <w:rPr>
          <w:rFonts w:ascii="Arial" w:eastAsia="Times New Roman" w:hAnsi="Arial" w:cs="Arial"/>
          <w:color w:val="000000"/>
          <w:szCs w:val="22"/>
        </w:rPr>
        <w:t>Estados Unidos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, William Stewart, declaró </w:t>
      </w:r>
      <w:r w:rsidR="009B552F" w:rsidRPr="00342D4A">
        <w:rPr>
          <w:rFonts w:ascii="Arial" w:eastAsia="Times New Roman" w:hAnsi="Arial" w:cs="Arial"/>
          <w:color w:val="000000"/>
          <w:szCs w:val="22"/>
        </w:rPr>
        <w:t xml:space="preserve">en 1969 </w:t>
      </w:r>
      <w:r w:rsidR="000D6ECF" w:rsidRPr="00342D4A">
        <w:rPr>
          <w:rFonts w:ascii="Arial" w:eastAsia="Times New Roman" w:hAnsi="Arial" w:cs="Arial"/>
          <w:color w:val="000000"/>
          <w:szCs w:val="22"/>
        </w:rPr>
        <w:t xml:space="preserve">que era “momento de cerrar el capítulo de enfermedades infecciosas como amenaza grave a la salud pública” </w:t>
      </w:r>
      <w:r w:rsidR="00973F76" w:rsidRPr="00342D4A">
        <w:rPr>
          <w:rFonts w:ascii="Arial" w:hAnsi="Arial" w:cs="Arial"/>
          <w:szCs w:val="22"/>
        </w:rPr>
        <w:t xml:space="preserve">(En </w:t>
      </w:r>
      <w:proofErr w:type="spellStart"/>
      <w:r w:rsidR="00973F76" w:rsidRPr="00342D4A">
        <w:rPr>
          <w:rFonts w:ascii="Arial" w:hAnsi="Arial" w:cs="Arial"/>
          <w:szCs w:val="22"/>
        </w:rPr>
        <w:t>Bryson</w:t>
      </w:r>
      <w:proofErr w:type="spellEnd"/>
      <w:r w:rsidR="00973F76" w:rsidRPr="00342D4A">
        <w:rPr>
          <w:rFonts w:ascii="Arial" w:hAnsi="Arial" w:cs="Arial"/>
          <w:szCs w:val="22"/>
        </w:rPr>
        <w:t>, 2006, p. 395).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r w:rsidRPr="00342D4A">
        <w:rPr>
          <w:rFonts w:ascii="Arial" w:eastAsia="Times New Roman" w:hAnsi="Arial" w:cs="Arial"/>
          <w:color w:val="000000"/>
          <w:szCs w:val="22"/>
        </w:rPr>
        <w:t xml:space="preserve">La 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 xml:space="preserve">teoría de la </w:t>
      </w:r>
      <w:r w:rsidRPr="00342D4A">
        <w:rPr>
          <w:rFonts w:ascii="Arial" w:eastAsia="Times New Roman" w:hAnsi="Arial" w:cs="Arial"/>
          <w:color w:val="000000"/>
          <w:szCs w:val="22"/>
        </w:rPr>
        <w:t>TE ha sido adop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>tada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en d</w:t>
      </w:r>
      <w:r w:rsidR="005D578A" w:rsidRPr="00342D4A">
        <w:rPr>
          <w:rFonts w:ascii="Arial" w:eastAsia="Times New Roman" w:hAnsi="Arial" w:cs="Arial"/>
          <w:color w:val="000000"/>
          <w:szCs w:val="22"/>
        </w:rPr>
        <w:t>iferentes ámbitos, y encontró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 un pronto apoyo 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 xml:space="preserve">por parte </w:t>
      </w:r>
      <w:r w:rsidRPr="00342D4A">
        <w:rPr>
          <w:rFonts w:ascii="Arial" w:eastAsia="Times New Roman" w:hAnsi="Arial" w:cs="Arial"/>
          <w:color w:val="000000"/>
          <w:szCs w:val="22"/>
        </w:rPr>
        <w:t>de los org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>anismos internacionales, que la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difundieron como modelo </w:t>
      </w:r>
      <w:r w:rsidR="005D578A" w:rsidRPr="00342D4A">
        <w:rPr>
          <w:rFonts w:ascii="Arial" w:eastAsia="Times New Roman" w:hAnsi="Arial" w:cs="Arial"/>
          <w:color w:val="000000"/>
          <w:szCs w:val="22"/>
        </w:rPr>
        <w:t xml:space="preserve">explicativo </w:t>
      </w:r>
      <w:r w:rsidRPr="00342D4A">
        <w:rPr>
          <w:rFonts w:ascii="Arial" w:eastAsia="Times New Roman" w:hAnsi="Arial" w:cs="Arial"/>
          <w:color w:val="000000"/>
          <w:szCs w:val="22"/>
        </w:rPr>
        <w:t>a sus países miembros (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Smallman-Raynor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 y Phillips, 1999; 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Garcia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-Moro, et al., 2000; 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Gribble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 y Preston, 1993; Phillips, 1994).</w:t>
      </w:r>
    </w:p>
    <w:p w:rsidR="00CF6B1C" w:rsidRPr="00342D4A" w:rsidRDefault="000D6ECF" w:rsidP="00342D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Algunos autores manifiestan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7"/>
      </w:r>
      <w:r w:rsidRPr="00342D4A">
        <w:rPr>
          <w:rFonts w:ascii="Arial" w:eastAsia="Times New Roman" w:hAnsi="Arial" w:cs="Arial"/>
          <w:szCs w:val="22"/>
        </w:rPr>
        <w:t xml:space="preserve"> que las diversas teorías de  transición y sus respectivas extensiones (</w:t>
      </w:r>
      <w:proofErr w:type="spellStart"/>
      <w:r w:rsidRPr="00342D4A">
        <w:rPr>
          <w:rFonts w:ascii="Arial" w:eastAsia="Times New Roman" w:hAnsi="Arial" w:cs="Arial"/>
          <w:szCs w:val="22"/>
        </w:rPr>
        <w:t>Olshansky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y Aula, 1996; Rogers y </w:t>
      </w:r>
      <w:proofErr w:type="spellStart"/>
      <w:r w:rsidRPr="00342D4A">
        <w:rPr>
          <w:rFonts w:ascii="Arial" w:eastAsia="Times New Roman" w:hAnsi="Arial" w:cs="Arial"/>
          <w:szCs w:val="22"/>
        </w:rPr>
        <w:t>Hackenberg</w:t>
      </w:r>
      <w:proofErr w:type="spellEnd"/>
      <w:r w:rsidRPr="00342D4A">
        <w:rPr>
          <w:rFonts w:ascii="Arial" w:eastAsia="Times New Roman" w:hAnsi="Arial" w:cs="Arial"/>
          <w:szCs w:val="22"/>
        </w:rPr>
        <w:t>, 1989)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, no explican suficientemente la dinámica poblacional, así como tampoco </w:t>
      </w:r>
      <w:r w:rsidR="00B773D4" w:rsidRPr="00342D4A">
        <w:rPr>
          <w:rFonts w:ascii="Arial" w:eastAsia="Times New Roman" w:hAnsi="Arial" w:cs="Arial"/>
          <w:szCs w:val="22"/>
        </w:rPr>
        <w:t>abarcan a</w:t>
      </w:r>
      <w:r w:rsidRPr="00342D4A">
        <w:rPr>
          <w:rFonts w:ascii="Arial" w:eastAsia="Times New Roman" w:hAnsi="Arial" w:cs="Arial"/>
          <w:szCs w:val="22"/>
        </w:rPr>
        <w:t>l conjunto de enfermedades infecciosas que han aparecido durante el último cuarto de siglo XX</w:t>
      </w:r>
      <w:r w:rsidR="005D578A" w:rsidRPr="00342D4A">
        <w:rPr>
          <w:rFonts w:ascii="Arial" w:eastAsia="Times New Roman" w:hAnsi="Arial" w:cs="Arial"/>
          <w:szCs w:val="22"/>
        </w:rPr>
        <w:t>. Asimismo se estaría lejos de adquirir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el dominio sobre las enfermedades infecciosas </w:t>
      </w:r>
      <w:r w:rsidRPr="00342D4A">
        <w:rPr>
          <w:rFonts w:ascii="Arial" w:eastAsia="Times New Roman" w:hAnsi="Arial" w:cs="Arial"/>
          <w:szCs w:val="22"/>
        </w:rPr>
        <w:t>(Carranza Rodríguez, et al., 2003)</w:t>
      </w:r>
      <w:r w:rsidRPr="00342D4A">
        <w:rPr>
          <w:rFonts w:ascii="Arial" w:eastAsia="Times New Roman" w:hAnsi="Arial" w:cs="Arial"/>
          <w:color w:val="000000"/>
          <w:szCs w:val="22"/>
        </w:rPr>
        <w:t>,</w:t>
      </w:r>
      <w:r w:rsidRPr="00342D4A">
        <w:rPr>
          <w:rFonts w:ascii="Arial" w:eastAsia="Times New Roman" w:hAnsi="Arial" w:cs="Arial"/>
          <w:szCs w:val="22"/>
        </w:rPr>
        <w:t xml:space="preserve"> en mayor medida</w:t>
      </w:r>
      <w:r w:rsidR="005D578A" w:rsidRPr="00342D4A">
        <w:rPr>
          <w:rFonts w:ascii="Arial" w:eastAsia="Times New Roman" w:hAnsi="Arial" w:cs="Arial"/>
          <w:color w:val="000000"/>
          <w:szCs w:val="22"/>
        </w:rPr>
        <w:t xml:space="preserve"> e</w:t>
      </w:r>
      <w:r w:rsidR="005D578A" w:rsidRPr="00342D4A">
        <w:rPr>
          <w:rFonts w:ascii="Arial" w:eastAsia="Times New Roman" w:hAnsi="Arial" w:cs="Arial"/>
          <w:color w:val="111111"/>
          <w:szCs w:val="22"/>
        </w:rPr>
        <w:t>n  país</w:t>
      </w:r>
      <w:r w:rsidR="005D578A" w:rsidRPr="00342D4A">
        <w:rPr>
          <w:rFonts w:ascii="Arial" w:eastAsia="Times New Roman" w:hAnsi="Arial" w:cs="Arial"/>
          <w:color w:val="363636"/>
          <w:szCs w:val="22"/>
        </w:rPr>
        <w:t>es e</w:t>
      </w:r>
      <w:r w:rsidR="005D578A" w:rsidRPr="00342D4A">
        <w:rPr>
          <w:rFonts w:ascii="Arial" w:eastAsia="Times New Roman" w:hAnsi="Arial" w:cs="Arial"/>
          <w:color w:val="111111"/>
          <w:szCs w:val="22"/>
        </w:rPr>
        <w:t>n vía</w:t>
      </w:r>
      <w:r w:rsidR="005D578A" w:rsidRPr="00342D4A">
        <w:rPr>
          <w:rFonts w:ascii="Arial" w:eastAsia="Times New Roman" w:hAnsi="Arial" w:cs="Arial"/>
          <w:color w:val="363636"/>
          <w:szCs w:val="22"/>
        </w:rPr>
        <w:t xml:space="preserve">s </w:t>
      </w:r>
      <w:r w:rsidR="005D578A" w:rsidRPr="00342D4A">
        <w:rPr>
          <w:rFonts w:ascii="Arial" w:eastAsia="Times New Roman" w:hAnsi="Arial" w:cs="Arial"/>
          <w:color w:val="111111"/>
          <w:szCs w:val="22"/>
        </w:rPr>
        <w:t>de desarrollo</w:t>
      </w:r>
      <w:r w:rsidR="005D578A" w:rsidRPr="00342D4A">
        <w:rPr>
          <w:rFonts w:ascii="Arial" w:eastAsia="Times New Roman" w:hAnsi="Arial" w:cs="Arial"/>
          <w:szCs w:val="22"/>
          <w:vertAlign w:val="superscript"/>
        </w:rPr>
        <w:footnoteReference w:id="8"/>
      </w:r>
      <w:r w:rsidRPr="00342D4A">
        <w:rPr>
          <w:rFonts w:ascii="Arial" w:eastAsia="Times New Roman" w:hAnsi="Arial" w:cs="Arial"/>
          <w:color w:val="000000"/>
          <w:szCs w:val="22"/>
        </w:rPr>
        <w:t xml:space="preserve"> (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Meslé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 y 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Vallin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>, 1995).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color w:val="000000"/>
          <w:szCs w:val="22"/>
        </w:rPr>
        <w:t xml:space="preserve">También se han expresado </w:t>
      </w:r>
      <w:r w:rsidRPr="00342D4A">
        <w:rPr>
          <w:rFonts w:ascii="Arial" w:eastAsia="Times New Roman" w:hAnsi="Arial" w:cs="Arial"/>
          <w:szCs w:val="22"/>
        </w:rPr>
        <w:t>críticas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B773D4" w:rsidRPr="00342D4A">
        <w:rPr>
          <w:rFonts w:ascii="Arial" w:eastAsia="Times New Roman" w:hAnsi="Arial" w:cs="Arial"/>
          <w:color w:val="000000"/>
          <w:szCs w:val="22"/>
        </w:rPr>
        <w:t xml:space="preserve">con </w:t>
      </w:r>
      <w:r w:rsidRPr="00342D4A">
        <w:rPr>
          <w:rFonts w:ascii="Arial" w:eastAsia="Times New Roman" w:hAnsi="Arial" w:cs="Arial"/>
          <w:color w:val="000000"/>
          <w:szCs w:val="22"/>
        </w:rPr>
        <w:t>respecto a cuestiones formales (</w:t>
      </w:r>
      <w:r w:rsidRPr="00342D4A">
        <w:rPr>
          <w:rFonts w:ascii="Arial" w:eastAsia="Times New Roman" w:hAnsi="Arial" w:cs="Arial"/>
          <w:szCs w:val="22"/>
        </w:rPr>
        <w:t>Gómez, 2001), e</w:t>
      </w:r>
      <w:r w:rsidRPr="00342D4A">
        <w:rPr>
          <w:rFonts w:ascii="Arial" w:eastAsia="Times New Roman" w:hAnsi="Arial" w:cs="Arial"/>
          <w:color w:val="000000"/>
          <w:szCs w:val="22"/>
        </w:rPr>
        <w:t>ntre las que cabe resaltar: la multip</w:t>
      </w:r>
      <w:r w:rsidR="005D578A" w:rsidRPr="00342D4A">
        <w:rPr>
          <w:rFonts w:ascii="Arial" w:eastAsia="Times New Roman" w:hAnsi="Arial" w:cs="Arial"/>
          <w:color w:val="000000"/>
          <w:szCs w:val="22"/>
        </w:rPr>
        <w:t>licidad de causas y factores que diluyen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el poder explicativo (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Cleland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, 1990); la ambigüedad taxonómica en la clasificación de la </w:t>
      </w:r>
      <w:r w:rsidRPr="00342D4A">
        <w:rPr>
          <w:rFonts w:ascii="Arial" w:eastAsia="Times New Roman" w:hAnsi="Arial" w:cs="Arial"/>
          <w:color w:val="000000"/>
          <w:szCs w:val="22"/>
        </w:rPr>
        <w:lastRenderedPageBreak/>
        <w:t>causas de enfermedad –</w:t>
      </w:r>
      <w:r w:rsidR="005D578A" w:rsidRPr="00342D4A">
        <w:rPr>
          <w:rFonts w:ascii="Arial" w:eastAsia="Times New Roman" w:hAnsi="Arial" w:cs="Arial"/>
          <w:color w:val="1D1D1D"/>
          <w:szCs w:val="22"/>
        </w:rPr>
        <w:t>existiendo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divergencias respecto </w:t>
      </w:r>
      <w:r w:rsidR="00A142C1" w:rsidRPr="00342D4A">
        <w:rPr>
          <w:rFonts w:ascii="Arial" w:eastAsia="Times New Roman" w:hAnsi="Arial" w:cs="Arial"/>
          <w:color w:val="1D1D1D"/>
          <w:szCs w:val="22"/>
        </w:rPr>
        <w:t>de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la distinción entre enfermedad infecciosa y crónica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szCs w:val="22"/>
        </w:rPr>
        <w:t xml:space="preserve">; la </w:t>
      </w:r>
      <w:r w:rsidRPr="00342D4A">
        <w:rPr>
          <w:rFonts w:ascii="Arial" w:eastAsia="Times New Roman" w:hAnsi="Arial" w:cs="Arial"/>
          <w:color w:val="000000"/>
          <w:szCs w:val="22"/>
        </w:rPr>
        <w:t>omisión de las diferencias al interior de un mismo país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9"/>
      </w:r>
      <w:r w:rsidRPr="00342D4A">
        <w:rPr>
          <w:rFonts w:ascii="Arial" w:eastAsia="Times New Roman" w:hAnsi="Arial" w:cs="Arial"/>
          <w:color w:val="000000"/>
          <w:szCs w:val="22"/>
        </w:rPr>
        <w:t xml:space="preserve"> (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Gaylin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 y 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Kates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>, 1997) –</w:t>
      </w:r>
      <w:r w:rsidRPr="00342D4A">
        <w:rPr>
          <w:rFonts w:ascii="Arial" w:eastAsia="Times New Roman" w:hAnsi="Arial" w:cs="Arial"/>
          <w:szCs w:val="22"/>
        </w:rPr>
        <w:t>es posible que coexistan distintos perfiles epidemiológicos tanto entre su</w:t>
      </w:r>
      <w:r w:rsidR="00A142C1" w:rsidRPr="00342D4A">
        <w:rPr>
          <w:rFonts w:ascii="Arial" w:eastAsia="Times New Roman" w:hAnsi="Arial" w:cs="Arial"/>
          <w:szCs w:val="22"/>
        </w:rPr>
        <w:t>s subgrupos de población como comparando</w:t>
      </w:r>
      <w:r w:rsidRPr="00342D4A">
        <w:rPr>
          <w:rFonts w:ascii="Arial" w:eastAsia="Times New Roman" w:hAnsi="Arial" w:cs="Arial"/>
          <w:szCs w:val="22"/>
        </w:rPr>
        <w:t xml:space="preserve"> sus regiones geográficas (Carranza Rodríguez, et al., 2003)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szCs w:val="22"/>
        </w:rPr>
        <w:t xml:space="preserve"> </w:t>
      </w:r>
      <w:r w:rsidRPr="00342D4A">
        <w:rPr>
          <w:rFonts w:ascii="Arial" w:eastAsia="Times New Roman" w:hAnsi="Arial" w:cs="Arial"/>
          <w:color w:val="000000"/>
          <w:szCs w:val="22"/>
        </w:rPr>
        <w:t>; las evidencias empíricas que no se ajustan a los patrones (Avilés, 2001)–el resurgimiento del SIDA y de la tuberculosis en Estados Unidos y Europa Occidental,</w:t>
      </w:r>
      <w:r w:rsidRPr="00342D4A">
        <w:rPr>
          <w:rFonts w:ascii="Arial" w:eastAsia="Times New Roman" w:hAnsi="Arial" w:cs="Arial"/>
          <w:color w:val="242021"/>
          <w:szCs w:val="22"/>
        </w:rPr>
        <w:t xml:space="preserve"> </w:t>
      </w:r>
      <w:r w:rsidR="00A142C1" w:rsidRPr="00342D4A">
        <w:rPr>
          <w:rFonts w:ascii="Arial" w:eastAsia="Times New Roman" w:hAnsi="Arial" w:cs="Arial"/>
          <w:color w:val="000000"/>
          <w:szCs w:val="22"/>
        </w:rPr>
        <w:t>el caso cubano,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el deterioro sanitario de Europa Oriental </w:t>
      </w:r>
      <w:r w:rsidRPr="00342D4A">
        <w:rPr>
          <w:rFonts w:ascii="Arial" w:eastAsia="Times New Roman" w:hAnsi="Arial" w:cs="Arial"/>
          <w:szCs w:val="22"/>
        </w:rPr>
        <w:t xml:space="preserve">(Gómez, 2001), y aquellas epidemias que aún </w:t>
      </w:r>
      <w:r w:rsidR="00A142C1" w:rsidRPr="00342D4A">
        <w:rPr>
          <w:rFonts w:ascii="Arial" w:eastAsia="Times New Roman" w:hAnsi="Arial" w:cs="Arial"/>
          <w:szCs w:val="22"/>
        </w:rPr>
        <w:t xml:space="preserve">continúan </w:t>
      </w:r>
      <w:r w:rsidRPr="00342D4A">
        <w:rPr>
          <w:rFonts w:ascii="Arial" w:eastAsia="Times New Roman" w:hAnsi="Arial" w:cs="Arial"/>
          <w:szCs w:val="22"/>
        </w:rPr>
        <w:t>afectan</w:t>
      </w:r>
      <w:r w:rsidR="00A142C1" w:rsidRPr="00342D4A">
        <w:rPr>
          <w:rFonts w:ascii="Arial" w:eastAsia="Times New Roman" w:hAnsi="Arial" w:cs="Arial"/>
          <w:szCs w:val="22"/>
        </w:rPr>
        <w:t>do</w:t>
      </w:r>
      <w:r w:rsidRPr="00342D4A">
        <w:rPr>
          <w:rFonts w:ascii="Arial" w:eastAsia="Times New Roman" w:hAnsi="Arial" w:cs="Arial"/>
          <w:szCs w:val="22"/>
        </w:rPr>
        <w:t xml:space="preserve"> como</w:t>
      </w:r>
      <w:r w:rsidRPr="00342D4A">
        <w:rPr>
          <w:rFonts w:ascii="Arial" w:eastAsia="Times New Roman" w:hAnsi="Arial" w:cs="Arial"/>
          <w:color w:val="242021"/>
          <w:szCs w:val="22"/>
        </w:rPr>
        <w:t xml:space="preserve"> cólera, dengue, paludismo, fiebre amarilla, sífilis, enfermedad de </w:t>
      </w:r>
      <w:proofErr w:type="spellStart"/>
      <w:r w:rsidRPr="00342D4A">
        <w:rPr>
          <w:rFonts w:ascii="Arial" w:eastAsia="Times New Roman" w:hAnsi="Arial" w:cs="Arial"/>
          <w:color w:val="242021"/>
          <w:szCs w:val="22"/>
        </w:rPr>
        <w:t>Chagas</w:t>
      </w:r>
      <w:proofErr w:type="spellEnd"/>
      <w:r w:rsidRPr="00342D4A">
        <w:rPr>
          <w:rFonts w:ascii="Arial" w:eastAsia="Times New Roman" w:hAnsi="Arial" w:cs="Arial"/>
          <w:color w:val="242021"/>
          <w:szCs w:val="22"/>
        </w:rPr>
        <w:t xml:space="preserve">, </w:t>
      </w:r>
      <w:proofErr w:type="spellStart"/>
      <w:r w:rsidRPr="00342D4A">
        <w:rPr>
          <w:rFonts w:ascii="Arial" w:eastAsia="Times New Roman" w:hAnsi="Arial" w:cs="Arial"/>
          <w:color w:val="242021"/>
          <w:szCs w:val="22"/>
        </w:rPr>
        <w:t>leishmaniasis</w:t>
      </w:r>
      <w:proofErr w:type="spellEnd"/>
      <w:r w:rsidRPr="00342D4A">
        <w:rPr>
          <w:rFonts w:ascii="Arial" w:eastAsia="Times New Roman" w:hAnsi="Arial" w:cs="Arial"/>
          <w:color w:val="242021"/>
          <w:szCs w:val="22"/>
        </w:rPr>
        <w:t>, influenza, entre otras (</w:t>
      </w:r>
      <w:r w:rsidRPr="00342D4A">
        <w:rPr>
          <w:rFonts w:ascii="Arial" w:eastAsia="Times New Roman" w:hAnsi="Arial" w:cs="Arial"/>
          <w:color w:val="222222"/>
          <w:szCs w:val="22"/>
        </w:rPr>
        <w:t>Prieto, 2020)</w:t>
      </w:r>
      <w:r w:rsidRPr="00342D4A">
        <w:rPr>
          <w:rFonts w:ascii="Arial" w:eastAsia="Times New Roman" w:hAnsi="Arial" w:cs="Arial"/>
          <w:color w:val="000000"/>
          <w:szCs w:val="22"/>
        </w:rPr>
        <w:t>.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bookmarkStart w:id="1" w:name="_heading=h.gjdgxs" w:colFirst="0" w:colLast="0"/>
      <w:bookmarkEnd w:id="1"/>
      <w:r w:rsidRPr="00342D4A">
        <w:rPr>
          <w:rFonts w:ascii="Arial" w:eastAsia="Times New Roman" w:hAnsi="Arial" w:cs="Arial"/>
          <w:color w:val="1D1D1D"/>
          <w:szCs w:val="22"/>
        </w:rPr>
        <w:t xml:space="preserve">Si bien estamos viviendo una transición epidemiológica hacia enfermedades crónicas no transmisibles, las enfermedades infecciosas 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color w:val="1D1D1D"/>
          <w:szCs w:val="22"/>
        </w:rPr>
        <w:t>dominan la carga mundial de los países pobres (</w:t>
      </w:r>
      <w:proofErr w:type="spellStart"/>
      <w:r w:rsidRPr="00342D4A">
        <w:rPr>
          <w:rFonts w:ascii="Arial" w:eastAsia="Times New Roman" w:hAnsi="Arial" w:cs="Arial"/>
          <w:color w:val="1D1D1D"/>
          <w:szCs w:val="22"/>
        </w:rPr>
        <w:t>Smtih</w:t>
      </w:r>
      <w:proofErr w:type="spellEnd"/>
      <w:r w:rsidRPr="00342D4A">
        <w:rPr>
          <w:rFonts w:ascii="Arial" w:eastAsia="Times New Roman" w:hAnsi="Arial" w:cs="Arial"/>
          <w:color w:val="1D1D1D"/>
          <w:szCs w:val="22"/>
        </w:rPr>
        <w:t xml:space="preserve"> y </w:t>
      </w:r>
      <w:proofErr w:type="spellStart"/>
      <w:r w:rsidRPr="00342D4A">
        <w:rPr>
          <w:rFonts w:ascii="Arial" w:eastAsia="Times New Roman" w:hAnsi="Arial" w:cs="Arial"/>
          <w:color w:val="1D1D1D"/>
          <w:szCs w:val="22"/>
        </w:rPr>
        <w:t>Ezatti</w:t>
      </w:r>
      <w:proofErr w:type="spellEnd"/>
      <w:r w:rsidRPr="00342D4A">
        <w:rPr>
          <w:rFonts w:ascii="Arial" w:eastAsia="Times New Roman" w:hAnsi="Arial" w:cs="Arial"/>
          <w:color w:val="1D1D1D"/>
          <w:szCs w:val="22"/>
        </w:rPr>
        <w:t>, 2005</w:t>
      </w:r>
      <w:proofErr w:type="gramStart"/>
      <w:r w:rsidRPr="00342D4A">
        <w:rPr>
          <w:rFonts w:ascii="Arial" w:eastAsia="Times New Roman" w:hAnsi="Arial" w:cs="Arial"/>
          <w:color w:val="1D1D1D"/>
          <w:szCs w:val="22"/>
        </w:rPr>
        <w:t>)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proofErr w:type="gramEnd"/>
      <w:r w:rsidRPr="00342D4A">
        <w:rPr>
          <w:rFonts w:ascii="Arial" w:eastAsia="Times New Roman" w:hAnsi="Arial" w:cs="Arial"/>
          <w:color w:val="000000"/>
          <w:szCs w:val="22"/>
        </w:rPr>
        <w:t xml:space="preserve">, </w:t>
      </w:r>
      <w:r w:rsidR="00A142C1" w:rsidRPr="00342D4A">
        <w:rPr>
          <w:rFonts w:ascii="Arial" w:eastAsia="Times New Roman" w:hAnsi="Arial" w:cs="Arial"/>
          <w:color w:val="000000"/>
          <w:szCs w:val="22"/>
        </w:rPr>
        <w:t xml:space="preserve">y 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representan una amenaza a nivel global. Las </w:t>
      </w:r>
      <w:r w:rsidRPr="00342D4A">
        <w:rPr>
          <w:rFonts w:ascii="Arial" w:eastAsia="Times New Roman" w:hAnsi="Arial" w:cs="Arial"/>
          <w:szCs w:val="22"/>
        </w:rPr>
        <w:t>enfermedades infecciosas pueden incluirse dentro de las definiciones de enfermedades emergentes y reemergentes. Las primeras son aquellas relacionadas con nuevos agentes o factores causales ya conocidos que han adquirido carácter epidémico (NIH, 2007), y  las segundas, son enfermedades conocidas, controladas o tratadas e</w:t>
      </w:r>
      <w:r w:rsidR="00A142C1" w:rsidRPr="00342D4A">
        <w:rPr>
          <w:rFonts w:ascii="Arial" w:eastAsia="Times New Roman" w:hAnsi="Arial" w:cs="Arial"/>
          <w:szCs w:val="22"/>
        </w:rPr>
        <w:t>ficazmente y cuya frecuencia y</w:t>
      </w:r>
      <w:r w:rsidRPr="00342D4A">
        <w:rPr>
          <w:rFonts w:ascii="Arial" w:eastAsia="Times New Roman" w:hAnsi="Arial" w:cs="Arial"/>
          <w:szCs w:val="22"/>
        </w:rPr>
        <w:t xml:space="preserve"> mortalidad se encuentran en aumento (</w:t>
      </w:r>
      <w:proofErr w:type="spellStart"/>
      <w:r w:rsidRPr="00342D4A">
        <w:rPr>
          <w:rFonts w:ascii="Arial" w:eastAsia="Times New Roman" w:hAnsi="Arial" w:cs="Arial"/>
          <w:szCs w:val="22"/>
        </w:rPr>
        <w:t>Kuri</w:t>
      </w:r>
      <w:proofErr w:type="spellEnd"/>
      <w:r w:rsidRPr="00342D4A">
        <w:rPr>
          <w:rFonts w:ascii="Arial" w:eastAsia="Times New Roman" w:hAnsi="Arial" w:cs="Arial"/>
          <w:szCs w:val="22"/>
        </w:rPr>
        <w:t>-Morales, et al., 2015).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color w:val="1D1D1D"/>
          <w:szCs w:val="22"/>
        </w:rPr>
      </w:pPr>
      <w:bookmarkStart w:id="2" w:name="_heading=h.w1my59cfqqn7" w:colFirst="0" w:colLast="0"/>
      <w:bookmarkEnd w:id="2"/>
      <w:r w:rsidRPr="00342D4A">
        <w:rPr>
          <w:rFonts w:ascii="Arial" w:eastAsia="Times New Roman" w:hAnsi="Arial" w:cs="Arial"/>
          <w:color w:val="1D1D1D"/>
          <w:szCs w:val="22"/>
        </w:rPr>
        <w:t xml:space="preserve">Las enfermedades infecciosas emergentes 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color w:val="1D1D1D"/>
          <w:szCs w:val="22"/>
        </w:rPr>
        <w:t>sobre todo aquellas transmitidas por vectores</w:t>
      </w:r>
      <w:r w:rsidRPr="00342D4A">
        <w:rPr>
          <w:rFonts w:ascii="Arial" w:eastAsia="Times New Roman" w:hAnsi="Arial" w:cs="Arial"/>
          <w:color w:val="000000"/>
          <w:szCs w:val="22"/>
        </w:rPr>
        <w:t>–,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y  reemergentes</w:t>
      </w:r>
      <w:r w:rsidRPr="00342D4A">
        <w:rPr>
          <w:rFonts w:ascii="Arial" w:eastAsia="Times New Roman" w:hAnsi="Arial" w:cs="Arial"/>
          <w:color w:val="1D1D1D"/>
          <w:szCs w:val="22"/>
          <w:vertAlign w:val="superscript"/>
        </w:rPr>
        <w:footnoteReference w:id="10"/>
      </w:r>
      <w:r w:rsidRPr="00342D4A">
        <w:rPr>
          <w:rFonts w:ascii="Arial" w:eastAsia="Times New Roman" w:hAnsi="Arial" w:cs="Arial"/>
          <w:color w:val="1D1D1D"/>
          <w:szCs w:val="22"/>
        </w:rPr>
        <w:t xml:space="preserve"> 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color w:val="1D1D1D"/>
          <w:szCs w:val="22"/>
        </w:rPr>
        <w:t>las bacterias resistentes a antibióticos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representan una amenaza real y presente a nivel global. Con el agravante de no poder preverse fácilmente, como la epidemia global de VIH/sida, o de otros patógenos emergentes como el </w:t>
      </w:r>
      <w:proofErr w:type="spellStart"/>
      <w:r w:rsidRPr="00342D4A">
        <w:rPr>
          <w:rFonts w:ascii="Arial" w:eastAsia="Times New Roman" w:hAnsi="Arial" w:cs="Arial"/>
          <w:color w:val="1D1D1D"/>
          <w:szCs w:val="22"/>
        </w:rPr>
        <w:t>ébola</w:t>
      </w:r>
      <w:proofErr w:type="spellEnd"/>
      <w:r w:rsidRPr="00342D4A">
        <w:rPr>
          <w:rFonts w:ascii="Arial" w:eastAsia="Times New Roman" w:hAnsi="Arial" w:cs="Arial"/>
          <w:color w:val="1D1D1D"/>
          <w:szCs w:val="22"/>
        </w:rPr>
        <w:t xml:space="preserve"> o el </w:t>
      </w:r>
      <w:proofErr w:type="spellStart"/>
      <w:r w:rsidRPr="00342D4A">
        <w:rPr>
          <w:rFonts w:ascii="Arial" w:eastAsia="Times New Roman" w:hAnsi="Arial" w:cs="Arial"/>
          <w:color w:val="1D1D1D"/>
          <w:szCs w:val="22"/>
        </w:rPr>
        <w:t>zika</w:t>
      </w:r>
      <w:proofErr w:type="spellEnd"/>
      <w:r w:rsidRPr="00342D4A">
        <w:rPr>
          <w:rFonts w:ascii="Arial" w:eastAsia="Times New Roman" w:hAnsi="Arial" w:cs="Arial"/>
          <w:color w:val="1D1D1D"/>
          <w:szCs w:val="22"/>
        </w:rPr>
        <w:t xml:space="preserve">, y los retos que representa la resistencia antimicrobiana </w:t>
      </w:r>
      <w:r w:rsidRPr="00342D4A">
        <w:rPr>
          <w:rFonts w:ascii="Arial" w:eastAsia="Times New Roman" w:hAnsi="Arial" w:cs="Arial"/>
          <w:color w:val="000000"/>
          <w:szCs w:val="22"/>
        </w:rPr>
        <w:t>–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como por ejemplo, la tuberculosis, con la aparición de cepas </w:t>
      </w:r>
      <w:proofErr w:type="spellStart"/>
      <w:r w:rsidRPr="00342D4A">
        <w:rPr>
          <w:rFonts w:ascii="Arial" w:eastAsia="Times New Roman" w:hAnsi="Arial" w:cs="Arial"/>
          <w:color w:val="1D1D1D"/>
          <w:szCs w:val="22"/>
        </w:rPr>
        <w:t>multirresistentes</w:t>
      </w:r>
      <w:proofErr w:type="spellEnd"/>
      <w:r w:rsidRPr="00342D4A">
        <w:rPr>
          <w:rFonts w:ascii="Arial" w:eastAsia="Times New Roman" w:hAnsi="Arial" w:cs="Arial"/>
          <w:color w:val="1D1D1D"/>
          <w:szCs w:val="22"/>
        </w:rPr>
        <w:t>, o el dengue, con la reaparición del vector en las Américas. En el contexto actual en que la desnutrición y la pobreza</w:t>
      </w:r>
      <w:r w:rsidRPr="00342D4A">
        <w:rPr>
          <w:rFonts w:ascii="Arial" w:eastAsia="Times New Roman" w:hAnsi="Arial" w:cs="Arial"/>
          <w:color w:val="1D1D1D"/>
          <w:szCs w:val="22"/>
          <w:vertAlign w:val="superscript"/>
        </w:rPr>
        <w:footnoteReference w:id="11"/>
      </w:r>
      <w:r w:rsidRPr="00342D4A">
        <w:rPr>
          <w:rFonts w:ascii="Arial" w:eastAsia="Times New Roman" w:hAnsi="Arial" w:cs="Arial"/>
          <w:color w:val="1D1D1D"/>
          <w:szCs w:val="22"/>
        </w:rPr>
        <w:t xml:space="preserve">, aunadas a los </w:t>
      </w:r>
      <w:r w:rsidR="00CC7E7F" w:rsidRPr="00342D4A">
        <w:rPr>
          <w:rFonts w:ascii="Arial" w:eastAsia="Times New Roman" w:hAnsi="Arial" w:cs="Arial"/>
          <w:color w:val="1D1D1D"/>
          <w:szCs w:val="22"/>
        </w:rPr>
        <w:t>desbalances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ambientales</w:t>
      </w:r>
      <w:r w:rsidR="005C6AD0" w:rsidRPr="00342D4A">
        <w:rPr>
          <w:rStyle w:val="Refdenotaalpie"/>
          <w:rFonts w:ascii="Arial" w:eastAsia="Times New Roman" w:hAnsi="Arial" w:cs="Arial"/>
          <w:color w:val="1D1D1D"/>
          <w:szCs w:val="22"/>
        </w:rPr>
        <w:footnoteReference w:id="12"/>
      </w:r>
      <w:r w:rsidRPr="00342D4A">
        <w:rPr>
          <w:rFonts w:ascii="Arial" w:eastAsia="Times New Roman" w:hAnsi="Arial" w:cs="Arial"/>
          <w:color w:val="1D1D1D"/>
          <w:szCs w:val="22"/>
        </w:rPr>
        <w:t xml:space="preserve">, la explosión </w:t>
      </w:r>
      <w:r w:rsidRPr="00342D4A">
        <w:rPr>
          <w:rFonts w:ascii="Arial" w:eastAsia="Times New Roman" w:hAnsi="Arial" w:cs="Arial"/>
          <w:color w:val="1D1D1D"/>
          <w:szCs w:val="22"/>
        </w:rPr>
        <w:lastRenderedPageBreak/>
        <w:t>demográfica y la globalización</w:t>
      </w:r>
      <w:r w:rsidR="005C6AD0" w:rsidRPr="00342D4A">
        <w:rPr>
          <w:rStyle w:val="Refdenotaalpie"/>
          <w:rFonts w:ascii="Arial" w:eastAsia="Times New Roman" w:hAnsi="Arial" w:cs="Arial"/>
          <w:color w:val="1D1D1D"/>
          <w:szCs w:val="22"/>
        </w:rPr>
        <w:footnoteReference w:id="13"/>
      </w:r>
      <w:r w:rsidRPr="00342D4A">
        <w:rPr>
          <w:rFonts w:ascii="Arial" w:eastAsia="Times New Roman" w:hAnsi="Arial" w:cs="Arial"/>
          <w:color w:val="1D1D1D"/>
          <w:szCs w:val="22"/>
        </w:rPr>
        <w:t xml:space="preserve">, son terreno fértil para la emergencia de nuevos patógenos  o el aumento de infecciones que estaban bajo control. 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bookmarkStart w:id="3" w:name="_heading=h.1fob9te" w:colFirst="0" w:colLast="0"/>
      <w:bookmarkEnd w:id="3"/>
      <w:r w:rsidRPr="00342D4A">
        <w:rPr>
          <w:rFonts w:ascii="Arial" w:eastAsia="Times New Roman" w:hAnsi="Arial" w:cs="Arial"/>
          <w:szCs w:val="22"/>
        </w:rPr>
        <w:t>La emergencia o reemergencia de las enfermedades infecciosas responde a un complejo proceso en donde</w:t>
      </w:r>
      <w:r w:rsidR="00CC7E7F" w:rsidRPr="00342D4A">
        <w:rPr>
          <w:rFonts w:ascii="Arial" w:eastAsia="Times New Roman" w:hAnsi="Arial" w:cs="Arial"/>
          <w:szCs w:val="22"/>
        </w:rPr>
        <w:t xml:space="preserve"> interactúan numerosos factores:</w:t>
      </w:r>
      <w:r w:rsidRPr="00342D4A">
        <w:rPr>
          <w:rFonts w:ascii="Arial" w:eastAsia="Times New Roman" w:hAnsi="Arial" w:cs="Arial"/>
          <w:szCs w:val="22"/>
        </w:rPr>
        <w:t xml:space="preserve"> los determinantes sociales de la salud, el cambio climático y las condiciones que prevalecen y se identifican en una población (</w:t>
      </w:r>
      <w:proofErr w:type="spellStart"/>
      <w:r w:rsidRPr="00342D4A">
        <w:rPr>
          <w:rFonts w:ascii="Arial" w:eastAsia="Times New Roman" w:hAnsi="Arial" w:cs="Arial"/>
          <w:szCs w:val="22"/>
        </w:rPr>
        <w:t>Kuri</w:t>
      </w:r>
      <w:proofErr w:type="spellEnd"/>
      <w:r w:rsidRPr="00342D4A">
        <w:rPr>
          <w:rFonts w:ascii="Arial" w:eastAsia="Times New Roman" w:hAnsi="Arial" w:cs="Arial"/>
          <w:szCs w:val="22"/>
        </w:rPr>
        <w:t>-Morales, 2011). Estas enfermedades se han acelerado como consecuencia de diferentes factores, y su aparición inesperada genera una rápida diseminación de los agentes etiológicos. Muchas de las “nuevas enfermedades” no son debidas a agentes patógenos nuevos o identificados nuevamente, sino que las condiciones que ex</w:t>
      </w:r>
      <w:r w:rsidR="00CC7E7F" w:rsidRPr="00342D4A">
        <w:rPr>
          <w:rFonts w:ascii="Arial" w:eastAsia="Times New Roman" w:hAnsi="Arial" w:cs="Arial"/>
          <w:szCs w:val="22"/>
        </w:rPr>
        <w:t>isten en una población favorece</w:t>
      </w:r>
      <w:r w:rsidRPr="00342D4A">
        <w:rPr>
          <w:rFonts w:ascii="Arial" w:eastAsia="Times New Roman" w:hAnsi="Arial" w:cs="Arial"/>
          <w:szCs w:val="22"/>
        </w:rPr>
        <w:t xml:space="preserve"> que se desarrollen nuevamente y puedan convertirse en una situación de emergencia y con </w:t>
      </w:r>
      <w:r w:rsidR="00CC7E7F" w:rsidRPr="00342D4A">
        <w:rPr>
          <w:rFonts w:ascii="Arial" w:eastAsia="Times New Roman" w:hAnsi="Arial" w:cs="Arial"/>
          <w:szCs w:val="22"/>
        </w:rPr>
        <w:t xml:space="preserve">severo </w:t>
      </w:r>
      <w:r w:rsidRPr="00342D4A">
        <w:rPr>
          <w:rFonts w:ascii="Arial" w:eastAsia="Times New Roman" w:hAnsi="Arial" w:cs="Arial"/>
          <w:szCs w:val="22"/>
        </w:rPr>
        <w:t>impacto en la salud pública.</w:t>
      </w: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Debemos estar preparados </w:t>
      </w:r>
      <w:r w:rsidR="00CC7E7F" w:rsidRPr="00342D4A">
        <w:rPr>
          <w:rFonts w:ascii="Arial" w:eastAsia="Times New Roman" w:hAnsi="Arial" w:cs="Arial"/>
          <w:szCs w:val="22"/>
        </w:rPr>
        <w:t>para e</w:t>
      </w:r>
      <w:r w:rsidRPr="00342D4A">
        <w:rPr>
          <w:rFonts w:ascii="Arial" w:eastAsia="Times New Roman" w:hAnsi="Arial" w:cs="Arial"/>
          <w:szCs w:val="22"/>
        </w:rPr>
        <w:t>l repunte de algunas enfermedades que se mantenían bajo control o en eliminación, debido a la adaptación de los agentes a nuevos ambientes  (</w:t>
      </w:r>
      <w:proofErr w:type="spellStart"/>
      <w:r w:rsidRPr="00342D4A">
        <w:rPr>
          <w:rFonts w:ascii="Arial" w:eastAsia="Times New Roman" w:hAnsi="Arial" w:cs="Arial"/>
          <w:szCs w:val="22"/>
        </w:rPr>
        <w:t>Kuri</w:t>
      </w:r>
      <w:proofErr w:type="spellEnd"/>
      <w:r w:rsidRPr="00342D4A">
        <w:rPr>
          <w:rFonts w:ascii="Arial" w:eastAsia="Times New Roman" w:hAnsi="Arial" w:cs="Arial"/>
          <w:szCs w:val="22"/>
        </w:rPr>
        <w:t>-Morales, et al., 2015).</w:t>
      </w:r>
    </w:p>
    <w:p w:rsidR="000B6259" w:rsidRPr="00342D4A" w:rsidRDefault="000B6259" w:rsidP="00342D4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r w:rsidRPr="00342D4A">
        <w:rPr>
          <w:rFonts w:ascii="Arial" w:eastAsia="Times New Roman" w:hAnsi="Arial" w:cs="Arial"/>
          <w:color w:val="242021"/>
          <w:szCs w:val="22"/>
        </w:rPr>
        <w:t xml:space="preserve">El comienzo del siglo XXI fue escenario de varias epidemias: las dos epidemias de coronavirus (SRAG y el síndrome respiratorio de Oriente </w:t>
      </w:r>
      <w:r w:rsidR="00CC7E7F" w:rsidRPr="00342D4A">
        <w:rPr>
          <w:rFonts w:ascii="Arial" w:eastAsia="Times New Roman" w:hAnsi="Arial" w:cs="Arial"/>
          <w:color w:val="242021"/>
          <w:szCs w:val="22"/>
        </w:rPr>
        <w:t xml:space="preserve">Medio -MERS), las epidemias de </w:t>
      </w:r>
      <w:proofErr w:type="spellStart"/>
      <w:r w:rsidR="00CC7E7F" w:rsidRPr="00342D4A">
        <w:rPr>
          <w:rFonts w:ascii="Arial" w:eastAsia="Times New Roman" w:hAnsi="Arial" w:cs="Arial"/>
          <w:color w:val="242021"/>
          <w:szCs w:val="22"/>
        </w:rPr>
        <w:t>é</w:t>
      </w:r>
      <w:r w:rsidRPr="00342D4A">
        <w:rPr>
          <w:rFonts w:ascii="Arial" w:eastAsia="Times New Roman" w:hAnsi="Arial" w:cs="Arial"/>
          <w:color w:val="242021"/>
          <w:szCs w:val="22"/>
        </w:rPr>
        <w:t>bola</w:t>
      </w:r>
      <w:proofErr w:type="spellEnd"/>
      <w:r w:rsidRPr="00342D4A">
        <w:rPr>
          <w:rFonts w:ascii="Arial" w:eastAsia="Times New Roman" w:hAnsi="Arial" w:cs="Arial"/>
          <w:color w:val="242021"/>
          <w:szCs w:val="22"/>
        </w:rPr>
        <w:t xml:space="preserve"> en África y la epidemia de gripe aviaria (H5N1) </w:t>
      </w:r>
      <w:r w:rsidRPr="00342D4A">
        <w:rPr>
          <w:rFonts w:ascii="Arial" w:eastAsia="Times New Roman" w:hAnsi="Arial" w:cs="Arial"/>
          <w:color w:val="222222"/>
          <w:szCs w:val="22"/>
        </w:rPr>
        <w:t>(</w:t>
      </w:r>
      <w:proofErr w:type="spellStart"/>
      <w:r w:rsidRPr="00342D4A">
        <w:rPr>
          <w:rFonts w:ascii="Arial" w:eastAsia="Times New Roman" w:hAnsi="Arial" w:cs="Arial"/>
          <w:color w:val="222222"/>
          <w:szCs w:val="22"/>
        </w:rPr>
        <w:t>Werneck</w:t>
      </w:r>
      <w:proofErr w:type="spellEnd"/>
      <w:r w:rsidRPr="00342D4A">
        <w:rPr>
          <w:rFonts w:ascii="Arial" w:eastAsia="Times New Roman" w:hAnsi="Arial" w:cs="Arial"/>
          <w:color w:val="222222"/>
          <w:szCs w:val="22"/>
        </w:rPr>
        <w:t xml:space="preserve">, y Carvalho, 2020). </w:t>
      </w:r>
    </w:p>
    <w:p w:rsidR="000B6259" w:rsidRPr="00342D4A" w:rsidRDefault="000B6259" w:rsidP="00342D4A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2"/>
        </w:rPr>
      </w:pPr>
      <w:r w:rsidRPr="00342D4A">
        <w:rPr>
          <w:rFonts w:ascii="Arial" w:eastAsia="Times New Roman" w:hAnsi="Arial" w:cs="Arial"/>
          <w:color w:val="231F20"/>
          <w:szCs w:val="22"/>
        </w:rPr>
        <w:t xml:space="preserve">El 31 de diciembre de 2019, China informó casos de neumonía provocados por un nuevo virus de la familia </w:t>
      </w:r>
      <w:proofErr w:type="spellStart"/>
      <w:r w:rsidRPr="00342D4A">
        <w:rPr>
          <w:rFonts w:ascii="Arial" w:eastAsia="Times New Roman" w:hAnsi="Arial" w:cs="Arial"/>
          <w:i/>
          <w:color w:val="231F20"/>
          <w:szCs w:val="22"/>
        </w:rPr>
        <w:t>Coronaviridae</w:t>
      </w:r>
      <w:proofErr w:type="spellEnd"/>
      <w:r w:rsidR="00DA7BA4" w:rsidRPr="00342D4A">
        <w:rPr>
          <w:rStyle w:val="Refdenotaalpie"/>
          <w:rFonts w:ascii="Arial" w:eastAsia="Times New Roman" w:hAnsi="Arial" w:cs="Arial"/>
          <w:i/>
          <w:color w:val="231F20"/>
          <w:szCs w:val="22"/>
        </w:rPr>
        <w:footnoteReference w:id="14"/>
      </w:r>
      <w:r w:rsidRPr="00342D4A">
        <w:rPr>
          <w:rFonts w:ascii="Arial" w:eastAsia="Times New Roman" w:hAnsi="Arial" w:cs="Arial"/>
          <w:i/>
          <w:color w:val="231F20"/>
          <w:szCs w:val="22"/>
        </w:rPr>
        <w:t xml:space="preserve">, </w:t>
      </w:r>
      <w:r w:rsidRPr="00342D4A">
        <w:rPr>
          <w:rFonts w:ascii="Arial" w:eastAsia="Times New Roman" w:hAnsi="Arial" w:cs="Arial"/>
          <w:color w:val="231F20"/>
          <w:szCs w:val="22"/>
        </w:rPr>
        <w:t>denominado posteriormente SARS-CoV-2 (</w:t>
      </w:r>
      <w:r w:rsidRPr="00342D4A">
        <w:rPr>
          <w:rFonts w:ascii="Arial" w:eastAsia="Times New Roman" w:hAnsi="Arial" w:cs="Arial"/>
          <w:color w:val="222222"/>
          <w:szCs w:val="22"/>
        </w:rPr>
        <w:t>Medina, 2020)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, que causaba </w:t>
      </w:r>
      <w:r w:rsidRPr="00342D4A">
        <w:rPr>
          <w:rFonts w:ascii="Arial" w:eastAsia="Times New Roman" w:hAnsi="Arial" w:cs="Arial"/>
          <w:color w:val="242021"/>
          <w:szCs w:val="22"/>
        </w:rPr>
        <w:t>COVID-19, enfermedad declarada pandemia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el 11 de marzo </w:t>
      </w:r>
      <w:r w:rsidRPr="00342D4A">
        <w:rPr>
          <w:rFonts w:ascii="Arial" w:eastAsia="Times New Roman" w:hAnsi="Arial" w:cs="Arial"/>
          <w:color w:val="242021"/>
          <w:szCs w:val="22"/>
        </w:rPr>
        <w:t xml:space="preserve">por la OMS </w:t>
      </w:r>
      <w:r w:rsidRPr="00342D4A">
        <w:rPr>
          <w:rFonts w:ascii="Arial" w:eastAsia="Times New Roman" w:hAnsi="Arial" w:cs="Arial"/>
          <w:color w:val="222222"/>
          <w:szCs w:val="22"/>
        </w:rPr>
        <w:t>(</w:t>
      </w:r>
      <w:proofErr w:type="spellStart"/>
      <w:r w:rsidRPr="00342D4A">
        <w:rPr>
          <w:rFonts w:ascii="Arial" w:eastAsia="Times New Roman" w:hAnsi="Arial" w:cs="Arial"/>
          <w:color w:val="222222"/>
          <w:szCs w:val="22"/>
        </w:rPr>
        <w:t>Buss</w:t>
      </w:r>
      <w:proofErr w:type="spellEnd"/>
      <w:r w:rsidRPr="00342D4A">
        <w:rPr>
          <w:rFonts w:ascii="Arial" w:eastAsia="Times New Roman" w:hAnsi="Arial" w:cs="Arial"/>
          <w:color w:val="222222"/>
          <w:szCs w:val="22"/>
        </w:rPr>
        <w:t xml:space="preserve"> y Tobar, 2020). </w:t>
      </w:r>
    </w:p>
    <w:p w:rsidR="000B6259" w:rsidRPr="00342D4A" w:rsidRDefault="000B6259" w:rsidP="00342D4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2"/>
        </w:rPr>
      </w:pPr>
      <w:r w:rsidRPr="00342D4A">
        <w:rPr>
          <w:rFonts w:ascii="Arial" w:eastAsia="Times New Roman" w:hAnsi="Arial" w:cs="Arial"/>
          <w:color w:val="242021"/>
          <w:szCs w:val="22"/>
        </w:rPr>
        <w:t>El insuficiente conocimiento científico generó incertidumbre sobre las estrategias a utilizar (</w:t>
      </w:r>
      <w:proofErr w:type="spellStart"/>
      <w:r w:rsidRPr="00342D4A">
        <w:rPr>
          <w:rFonts w:ascii="Arial" w:eastAsia="Times New Roman" w:hAnsi="Arial" w:cs="Arial"/>
          <w:color w:val="222222"/>
          <w:szCs w:val="22"/>
        </w:rPr>
        <w:t>Werneck</w:t>
      </w:r>
      <w:proofErr w:type="spellEnd"/>
      <w:r w:rsidRPr="00342D4A">
        <w:rPr>
          <w:rFonts w:ascii="Arial" w:eastAsia="Times New Roman" w:hAnsi="Arial" w:cs="Arial"/>
          <w:color w:val="222222"/>
          <w:szCs w:val="22"/>
        </w:rPr>
        <w:t xml:space="preserve"> y Carvalho, 2020), </w:t>
      </w:r>
      <w:r w:rsidRPr="00342D4A">
        <w:rPr>
          <w:rFonts w:ascii="Arial" w:eastAsia="Times New Roman" w:hAnsi="Arial" w:cs="Arial"/>
          <w:color w:val="000000"/>
          <w:szCs w:val="22"/>
        </w:rPr>
        <w:t>ante la imprevisibilidad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15"/>
      </w:r>
      <w:r w:rsidRPr="00342D4A">
        <w:rPr>
          <w:rFonts w:ascii="Arial" w:eastAsia="Times New Roman" w:hAnsi="Arial" w:cs="Arial"/>
          <w:color w:val="000000"/>
          <w:szCs w:val="22"/>
        </w:rPr>
        <w:t xml:space="preserve"> de </w:t>
      </w:r>
      <w:r w:rsidRPr="00342D4A">
        <w:rPr>
          <w:rFonts w:ascii="Arial" w:eastAsia="Times New Roman" w:hAnsi="Arial" w:cs="Arial"/>
          <w:color w:val="231F20"/>
          <w:szCs w:val="22"/>
        </w:rPr>
        <w:t xml:space="preserve">un virus </w:t>
      </w:r>
      <w:proofErr w:type="spellStart"/>
      <w:r w:rsidRPr="00342D4A">
        <w:rPr>
          <w:rFonts w:ascii="Arial" w:eastAsia="Times New Roman" w:hAnsi="Arial" w:cs="Arial"/>
          <w:color w:val="231F20"/>
          <w:szCs w:val="22"/>
        </w:rPr>
        <w:t>pandémico</w:t>
      </w:r>
      <w:proofErr w:type="spellEnd"/>
      <w:r w:rsidRPr="00342D4A">
        <w:rPr>
          <w:rFonts w:ascii="Arial" w:eastAsia="Times New Roman" w:hAnsi="Arial" w:cs="Arial"/>
          <w:color w:val="231F20"/>
          <w:szCs w:val="22"/>
        </w:rPr>
        <w:t xml:space="preserve"> (</w:t>
      </w:r>
      <w:r w:rsidR="00CC7E7F" w:rsidRPr="00342D4A">
        <w:rPr>
          <w:rFonts w:ascii="Arial" w:eastAsia="Times New Roman" w:hAnsi="Arial" w:cs="Arial"/>
          <w:color w:val="222222"/>
          <w:szCs w:val="22"/>
        </w:rPr>
        <w:t>Medina, 2020). S</w:t>
      </w:r>
      <w:r w:rsidRPr="00342D4A">
        <w:rPr>
          <w:rFonts w:ascii="Arial" w:eastAsia="Times New Roman" w:hAnsi="Arial" w:cs="Arial"/>
          <w:color w:val="222222"/>
          <w:szCs w:val="22"/>
        </w:rPr>
        <w:t>e presentaron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="00CC7E7F" w:rsidRPr="00342D4A">
        <w:rPr>
          <w:rFonts w:ascii="Arial" w:eastAsia="Times New Roman" w:hAnsi="Arial" w:cs="Arial"/>
          <w:color w:val="000000"/>
          <w:szCs w:val="22"/>
        </w:rPr>
        <w:t xml:space="preserve">numerosas </w:t>
      </w:r>
      <w:r w:rsidRPr="00342D4A">
        <w:rPr>
          <w:rFonts w:ascii="Arial" w:eastAsia="Times New Roman" w:hAnsi="Arial" w:cs="Arial"/>
          <w:color w:val="000000"/>
          <w:szCs w:val="22"/>
        </w:rPr>
        <w:t>limitaciones en materia de salud pública</w:t>
      </w:r>
      <w:r w:rsidRPr="00342D4A">
        <w:rPr>
          <w:rFonts w:ascii="Arial" w:eastAsia="Times New Roman" w:hAnsi="Arial" w:cs="Arial"/>
          <w:szCs w:val="22"/>
        </w:rPr>
        <w:t xml:space="preserve"> </w:t>
      </w:r>
      <w:r w:rsidRPr="00342D4A">
        <w:rPr>
          <w:rFonts w:ascii="Arial" w:eastAsia="Times New Roman" w:hAnsi="Arial" w:cs="Arial"/>
          <w:color w:val="000000"/>
          <w:szCs w:val="22"/>
        </w:rPr>
        <w:t>–vacilaciones sobre las medidas terapéuticas farmacológicas, las vías de contagios y la efectividad de las medidas de prevención</w:t>
      </w:r>
      <w:r w:rsidRPr="00342D4A">
        <w:rPr>
          <w:rFonts w:ascii="Arial" w:eastAsia="Times New Roman" w:hAnsi="Arial" w:cs="Arial"/>
          <w:color w:val="000000"/>
          <w:szCs w:val="22"/>
          <w:vertAlign w:val="superscript"/>
        </w:rPr>
        <w:footnoteReference w:id="16"/>
      </w:r>
      <w:r w:rsidRPr="00342D4A">
        <w:rPr>
          <w:rFonts w:ascii="Arial" w:eastAsia="Times New Roman" w:hAnsi="Arial" w:cs="Arial"/>
          <w:color w:val="000000"/>
          <w:szCs w:val="22"/>
        </w:rPr>
        <w:t xml:space="preserve"> (</w:t>
      </w:r>
      <w:r w:rsidRPr="00342D4A">
        <w:rPr>
          <w:rFonts w:ascii="Arial" w:eastAsia="Times New Roman" w:hAnsi="Arial" w:cs="Arial"/>
          <w:szCs w:val="22"/>
        </w:rPr>
        <w:t xml:space="preserve">Murillo y </w:t>
      </w:r>
      <w:proofErr w:type="spellStart"/>
      <w:r w:rsidRPr="00342D4A">
        <w:rPr>
          <w:rFonts w:ascii="Arial" w:eastAsia="Times New Roman" w:hAnsi="Arial" w:cs="Arial"/>
          <w:szCs w:val="22"/>
        </w:rPr>
        <w:t>Duk</w:t>
      </w:r>
      <w:proofErr w:type="spellEnd"/>
      <w:r w:rsidRPr="00342D4A">
        <w:rPr>
          <w:rFonts w:ascii="Arial" w:eastAsia="Times New Roman" w:hAnsi="Arial" w:cs="Arial"/>
          <w:szCs w:val="22"/>
        </w:rPr>
        <w:t>, 2020)</w:t>
      </w:r>
      <w:r w:rsidRPr="00342D4A">
        <w:rPr>
          <w:rFonts w:ascii="Arial" w:eastAsia="Times New Roman" w:hAnsi="Arial" w:cs="Arial"/>
          <w:color w:val="000000"/>
          <w:szCs w:val="22"/>
        </w:rPr>
        <w:t xml:space="preserve"> –.</w:t>
      </w:r>
    </w:p>
    <w:p w:rsidR="000B6259" w:rsidRPr="00342D4A" w:rsidRDefault="000B6259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</w:p>
    <w:p w:rsidR="00CF6B1C" w:rsidRPr="00342D4A" w:rsidRDefault="000D6EC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color w:val="000000"/>
          <w:szCs w:val="22"/>
        </w:rPr>
        <w:t>Las cuestiones de salud pública deberían figurar entre las prioridades de las políticas económicas y sociales</w:t>
      </w:r>
      <w:r w:rsidR="00CB6D9F" w:rsidRPr="00342D4A">
        <w:rPr>
          <w:rFonts w:ascii="Arial" w:eastAsia="Times New Roman" w:hAnsi="Arial" w:cs="Arial"/>
          <w:color w:val="000000"/>
          <w:szCs w:val="22"/>
          <w:vertAlign w:val="superscript"/>
        </w:rPr>
        <w:t xml:space="preserve"> </w:t>
      </w:r>
      <w:r w:rsidR="00CB6D9F" w:rsidRPr="00342D4A">
        <w:rPr>
          <w:rFonts w:ascii="Arial" w:eastAsia="Times New Roman" w:hAnsi="Arial" w:cs="Arial"/>
          <w:color w:val="000000"/>
          <w:szCs w:val="22"/>
        </w:rPr>
        <w:t xml:space="preserve"> </w:t>
      </w:r>
      <w:r w:rsidRPr="00342D4A">
        <w:rPr>
          <w:rFonts w:ascii="Arial" w:eastAsia="Times New Roman" w:hAnsi="Arial" w:cs="Arial"/>
          <w:color w:val="000000"/>
          <w:szCs w:val="22"/>
        </w:rPr>
        <w:t>(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Frenk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 xml:space="preserve">, et al., 1991; </w:t>
      </w:r>
      <w:proofErr w:type="spellStart"/>
      <w:r w:rsidRPr="00342D4A">
        <w:rPr>
          <w:rFonts w:ascii="Arial" w:eastAsia="Times New Roman" w:hAnsi="Arial" w:cs="Arial"/>
          <w:color w:val="000000"/>
          <w:szCs w:val="22"/>
        </w:rPr>
        <w:t>Bernabeu</w:t>
      </w:r>
      <w:proofErr w:type="spellEnd"/>
      <w:r w:rsidRPr="00342D4A">
        <w:rPr>
          <w:rFonts w:ascii="Arial" w:eastAsia="Times New Roman" w:hAnsi="Arial" w:cs="Arial"/>
          <w:color w:val="000000"/>
          <w:szCs w:val="22"/>
        </w:rPr>
        <w:t>, 1995), brindando</w:t>
      </w:r>
      <w:r w:rsidRPr="00342D4A">
        <w:rPr>
          <w:rFonts w:ascii="Arial" w:eastAsia="Times New Roman" w:hAnsi="Arial" w:cs="Arial"/>
          <w:color w:val="1D1D1D"/>
          <w:szCs w:val="22"/>
        </w:rPr>
        <w:t xml:space="preserve"> </w:t>
      </w:r>
      <w:r w:rsidRPr="00342D4A">
        <w:rPr>
          <w:rFonts w:ascii="Arial" w:eastAsia="Times New Roman" w:hAnsi="Arial" w:cs="Arial"/>
          <w:color w:val="231F20"/>
          <w:szCs w:val="22"/>
        </w:rPr>
        <w:t xml:space="preserve">apoyo </w:t>
      </w:r>
      <w:r w:rsidRPr="00342D4A">
        <w:rPr>
          <w:rFonts w:ascii="Arial" w:eastAsia="Times New Roman" w:hAnsi="Arial" w:cs="Arial"/>
          <w:color w:val="242021"/>
          <w:szCs w:val="22"/>
        </w:rPr>
        <w:t xml:space="preserve">a </w:t>
      </w:r>
      <w:r w:rsidRPr="00342D4A">
        <w:rPr>
          <w:rFonts w:ascii="Arial" w:eastAsia="Times New Roman" w:hAnsi="Arial" w:cs="Arial"/>
          <w:color w:val="231F20"/>
          <w:szCs w:val="22"/>
        </w:rPr>
        <w:t xml:space="preserve">las </w:t>
      </w:r>
      <w:r w:rsidRPr="00342D4A">
        <w:rPr>
          <w:rFonts w:ascii="Arial" w:eastAsia="Times New Roman" w:hAnsi="Arial" w:cs="Arial"/>
          <w:color w:val="231F20"/>
          <w:szCs w:val="22"/>
        </w:rPr>
        <w:lastRenderedPageBreak/>
        <w:t>medidas de control y prevención de patógenos en las poblaciones animales</w:t>
      </w:r>
      <w:r w:rsidRPr="00342D4A">
        <w:rPr>
          <w:rFonts w:ascii="Arial" w:eastAsia="Times New Roman" w:hAnsi="Arial" w:cs="Arial"/>
          <w:color w:val="231F20"/>
          <w:szCs w:val="22"/>
          <w:vertAlign w:val="superscript"/>
        </w:rPr>
        <w:footnoteReference w:id="17"/>
      </w:r>
      <w:r w:rsidRPr="00342D4A">
        <w:rPr>
          <w:rFonts w:ascii="Arial" w:eastAsia="Times New Roman" w:hAnsi="Arial" w:cs="Arial"/>
          <w:color w:val="231F20"/>
          <w:szCs w:val="22"/>
        </w:rPr>
        <w:t xml:space="preserve"> y en la interrelación entre el hombre y el medio ambiente (</w:t>
      </w:r>
      <w:r w:rsidRPr="00342D4A">
        <w:rPr>
          <w:rFonts w:ascii="Arial" w:eastAsia="Times New Roman" w:hAnsi="Arial" w:cs="Arial"/>
          <w:color w:val="222222"/>
          <w:szCs w:val="22"/>
        </w:rPr>
        <w:t xml:space="preserve">Medina, 2020), en el marco </w:t>
      </w:r>
      <w:r w:rsidRPr="00342D4A">
        <w:rPr>
          <w:rFonts w:ascii="Arial" w:eastAsia="Times New Roman" w:hAnsi="Arial" w:cs="Arial"/>
          <w:color w:val="242021"/>
          <w:szCs w:val="22"/>
        </w:rPr>
        <w:t xml:space="preserve">de líneas de trabajo sobre nuevas enfermedades con potencial </w:t>
      </w:r>
      <w:proofErr w:type="spellStart"/>
      <w:r w:rsidRPr="00342D4A">
        <w:rPr>
          <w:rFonts w:ascii="Arial" w:eastAsia="Times New Roman" w:hAnsi="Arial" w:cs="Arial"/>
          <w:color w:val="242021"/>
          <w:szCs w:val="22"/>
        </w:rPr>
        <w:t>pandémico</w:t>
      </w:r>
      <w:proofErr w:type="spellEnd"/>
      <w:r w:rsidRPr="00342D4A">
        <w:rPr>
          <w:rFonts w:ascii="Arial" w:eastAsia="Times New Roman" w:hAnsi="Arial" w:cs="Arial"/>
          <w:color w:val="242021"/>
          <w:szCs w:val="22"/>
        </w:rPr>
        <w:t xml:space="preserve"> </w:t>
      </w:r>
      <w:r w:rsidRPr="00342D4A">
        <w:rPr>
          <w:rFonts w:ascii="Arial" w:eastAsia="Times New Roman" w:hAnsi="Arial" w:cs="Arial"/>
          <w:color w:val="222222"/>
          <w:szCs w:val="22"/>
        </w:rPr>
        <w:t>(</w:t>
      </w:r>
      <w:proofErr w:type="spellStart"/>
      <w:r w:rsidRPr="00342D4A">
        <w:rPr>
          <w:rFonts w:ascii="Arial" w:eastAsia="Times New Roman" w:hAnsi="Arial" w:cs="Arial"/>
          <w:color w:val="222222"/>
          <w:szCs w:val="22"/>
        </w:rPr>
        <w:t>Buss</w:t>
      </w:r>
      <w:proofErr w:type="spellEnd"/>
      <w:r w:rsidRPr="00342D4A">
        <w:rPr>
          <w:rFonts w:ascii="Arial" w:eastAsia="Times New Roman" w:hAnsi="Arial" w:cs="Arial"/>
          <w:color w:val="222222"/>
          <w:szCs w:val="22"/>
        </w:rPr>
        <w:t xml:space="preserve"> y Tobar, 2020), para que pueda reaccionar lo antes posible </w:t>
      </w:r>
      <w:r w:rsidRPr="00342D4A">
        <w:rPr>
          <w:rFonts w:ascii="Arial" w:eastAsia="Times New Roman" w:hAnsi="Arial" w:cs="Arial"/>
          <w:szCs w:val="22"/>
        </w:rPr>
        <w:t>evitando su propagación (</w:t>
      </w:r>
      <w:proofErr w:type="spellStart"/>
      <w:r w:rsidRPr="00342D4A">
        <w:rPr>
          <w:rFonts w:ascii="Arial" w:eastAsia="Times New Roman" w:hAnsi="Arial" w:cs="Arial"/>
          <w:szCs w:val="22"/>
        </w:rPr>
        <w:t>Kuri</w:t>
      </w:r>
      <w:proofErr w:type="spellEnd"/>
      <w:r w:rsidRPr="00342D4A">
        <w:rPr>
          <w:rFonts w:ascii="Arial" w:eastAsia="Times New Roman" w:hAnsi="Arial" w:cs="Arial"/>
          <w:szCs w:val="22"/>
        </w:rPr>
        <w:t>-Morales, et al., 2015).</w:t>
      </w:r>
    </w:p>
    <w:p w:rsidR="00CC7E7F" w:rsidRPr="00342D4A" w:rsidRDefault="00CC7E7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A la fecha de cierre de esta contribución, la Argentina se mantenía muy por debajo de los niveles de </w:t>
      </w:r>
      <w:proofErr w:type="spellStart"/>
      <w:r w:rsidRPr="00342D4A">
        <w:rPr>
          <w:rFonts w:ascii="Arial" w:eastAsia="Times New Roman" w:hAnsi="Arial" w:cs="Arial"/>
          <w:szCs w:val="22"/>
        </w:rPr>
        <w:t>morbi</w:t>
      </w:r>
      <w:proofErr w:type="spellEnd"/>
      <w:r w:rsidRPr="00342D4A">
        <w:rPr>
          <w:rFonts w:ascii="Arial" w:eastAsia="Times New Roman" w:hAnsi="Arial" w:cs="Arial"/>
          <w:szCs w:val="22"/>
        </w:rPr>
        <w:t>-mortalidad por Covid-19 en la región. Tras un reconocimiento interno y externo de estos logros durante los primeros meses, va ganando espacio la tensión entre las políticas públicas que buscan la preservación de la vida y sectores sociales, generalmente enfrentados con el oficialismo, que pugnan por el levantamiento de las restricciones.</w:t>
      </w:r>
    </w:p>
    <w:p w:rsidR="00CC7E7F" w:rsidRPr="00342D4A" w:rsidRDefault="00CC7E7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Estas presiones han generado un incremento de la </w:t>
      </w:r>
      <w:proofErr w:type="spellStart"/>
      <w:r w:rsidRPr="00342D4A">
        <w:rPr>
          <w:rFonts w:ascii="Arial" w:eastAsia="Times New Roman" w:hAnsi="Arial" w:cs="Arial"/>
          <w:szCs w:val="22"/>
        </w:rPr>
        <w:t>morbi</w:t>
      </w:r>
      <w:proofErr w:type="spellEnd"/>
      <w:r w:rsidRPr="00342D4A">
        <w:rPr>
          <w:rFonts w:ascii="Arial" w:eastAsia="Times New Roman" w:hAnsi="Arial" w:cs="Arial"/>
          <w:szCs w:val="22"/>
        </w:rPr>
        <w:t>-mortalidad bastante pronunciado desde mediados de julio del 2020.</w:t>
      </w:r>
    </w:p>
    <w:p w:rsidR="0088446D" w:rsidRPr="00342D4A" w:rsidRDefault="00CC7E7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La carrera por la aparición de la vacuna parece, en principio ganada por Rusia, quien patentó la </w:t>
      </w:r>
      <w:proofErr w:type="spellStart"/>
      <w:r w:rsidRPr="00342D4A">
        <w:rPr>
          <w:rFonts w:ascii="Arial" w:eastAsia="Times New Roman" w:hAnsi="Arial" w:cs="Arial"/>
          <w:szCs w:val="22"/>
        </w:rPr>
        <w:t>Sputnik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5 a principios de agosto del 2020</w:t>
      </w:r>
      <w:r w:rsidR="0088446D" w:rsidRPr="00342D4A">
        <w:rPr>
          <w:rFonts w:ascii="Arial" w:eastAsia="Times New Roman" w:hAnsi="Arial" w:cs="Arial"/>
          <w:szCs w:val="22"/>
        </w:rPr>
        <w:t xml:space="preserve">, </w:t>
      </w:r>
      <w:r w:rsidRPr="00342D4A">
        <w:rPr>
          <w:rFonts w:ascii="Arial" w:eastAsia="Times New Roman" w:hAnsi="Arial" w:cs="Arial"/>
          <w:szCs w:val="22"/>
        </w:rPr>
        <w:t>genera</w:t>
      </w:r>
      <w:r w:rsidR="0088446D" w:rsidRPr="00342D4A">
        <w:rPr>
          <w:rFonts w:ascii="Arial" w:eastAsia="Times New Roman" w:hAnsi="Arial" w:cs="Arial"/>
          <w:szCs w:val="22"/>
        </w:rPr>
        <w:t>ndo</w:t>
      </w:r>
      <w:r w:rsidRPr="00342D4A">
        <w:rPr>
          <w:rFonts w:ascii="Arial" w:eastAsia="Times New Roman" w:hAnsi="Arial" w:cs="Arial"/>
          <w:szCs w:val="22"/>
        </w:rPr>
        <w:t xml:space="preserve"> expectativas</w:t>
      </w:r>
      <w:r w:rsidR="0088446D" w:rsidRPr="00342D4A">
        <w:rPr>
          <w:rFonts w:ascii="Arial" w:eastAsia="Times New Roman" w:hAnsi="Arial" w:cs="Arial"/>
          <w:szCs w:val="22"/>
        </w:rPr>
        <w:t xml:space="preserve"> y controversias</w:t>
      </w:r>
      <w:r w:rsidRPr="00342D4A">
        <w:rPr>
          <w:rFonts w:ascii="Arial" w:eastAsia="Times New Roman" w:hAnsi="Arial" w:cs="Arial"/>
          <w:szCs w:val="22"/>
        </w:rPr>
        <w:t xml:space="preserve">. </w:t>
      </w:r>
    </w:p>
    <w:p w:rsidR="00CC7E7F" w:rsidRPr="00342D4A" w:rsidRDefault="00CC7E7F" w:rsidP="00342D4A">
      <w:pPr>
        <w:spacing w:after="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La</w:t>
      </w:r>
      <w:r w:rsidR="0088446D" w:rsidRPr="00342D4A">
        <w:rPr>
          <w:rFonts w:ascii="Arial" w:eastAsia="Times New Roman" w:hAnsi="Arial" w:cs="Arial"/>
          <w:szCs w:val="22"/>
        </w:rPr>
        <w:t>s</w:t>
      </w:r>
      <w:r w:rsidRPr="00342D4A">
        <w:rPr>
          <w:rFonts w:ascii="Arial" w:eastAsia="Times New Roman" w:hAnsi="Arial" w:cs="Arial"/>
          <w:szCs w:val="22"/>
        </w:rPr>
        <w:t xml:space="preserve"> pregunta</w:t>
      </w:r>
      <w:r w:rsidR="0088446D" w:rsidRPr="00342D4A">
        <w:rPr>
          <w:rFonts w:ascii="Arial" w:eastAsia="Times New Roman" w:hAnsi="Arial" w:cs="Arial"/>
          <w:szCs w:val="22"/>
        </w:rPr>
        <w:t>s sobre la "nueva normalidad" son numerosas pero, indudablemente, el mundo "post-pandemia" requerirá de mucha mayor presencia del Estado.</w:t>
      </w:r>
      <w:r w:rsidRPr="00342D4A">
        <w:rPr>
          <w:rFonts w:ascii="Arial" w:eastAsia="Times New Roman" w:hAnsi="Arial" w:cs="Arial"/>
          <w:szCs w:val="22"/>
        </w:rPr>
        <w:t xml:space="preserve"> </w:t>
      </w:r>
    </w:p>
    <w:p w:rsidR="00CF6B1C" w:rsidRPr="00342D4A" w:rsidRDefault="00CF6B1C" w:rsidP="00342D4A">
      <w:pPr>
        <w:spacing w:after="0" w:line="240" w:lineRule="auto"/>
        <w:jc w:val="both"/>
        <w:rPr>
          <w:rFonts w:ascii="Arial" w:eastAsia="Times New Roman" w:hAnsi="Arial" w:cs="Arial"/>
          <w:color w:val="1D1D1D"/>
          <w:szCs w:val="22"/>
        </w:rPr>
      </w:pPr>
    </w:p>
    <w:p w:rsidR="009D4097" w:rsidRPr="00342D4A" w:rsidRDefault="009D4097" w:rsidP="00342D4A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2"/>
        </w:rPr>
      </w:pPr>
    </w:p>
    <w:p w:rsidR="00AB0155" w:rsidRPr="00342D4A" w:rsidRDefault="000D6ECF" w:rsidP="00342D4A">
      <w:pPr>
        <w:spacing w:before="240" w:after="120" w:line="240" w:lineRule="auto"/>
        <w:jc w:val="both"/>
        <w:rPr>
          <w:rFonts w:ascii="Arial" w:eastAsia="Times New Roman" w:hAnsi="Arial" w:cs="Arial"/>
          <w:b/>
          <w:szCs w:val="22"/>
        </w:rPr>
      </w:pPr>
      <w:r w:rsidRPr="00342D4A">
        <w:rPr>
          <w:rFonts w:ascii="Arial" w:eastAsia="Times New Roman" w:hAnsi="Arial" w:cs="Arial"/>
          <w:b/>
          <w:szCs w:val="22"/>
        </w:rPr>
        <w:t xml:space="preserve">Referencias Bibliográficas 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ÁLVAREZ, A. C. (2020). La Historia del COVID 19 en tiempos del Coronavirus.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Un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ensayo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inconcluso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>. </w:t>
      </w:r>
      <w:proofErr w:type="spellStart"/>
      <w:proofErr w:type="gramStart"/>
      <w:r w:rsidRPr="00342D4A">
        <w:rPr>
          <w:rFonts w:ascii="Arial" w:eastAsia="Times New Roman" w:hAnsi="Arial" w:cs="Arial"/>
          <w:i/>
          <w:szCs w:val="22"/>
          <w:lang w:val="en-US"/>
        </w:rPr>
        <w:t>Pasado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Abierto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>, </w:t>
      </w:r>
      <w:r w:rsidRPr="00342D4A">
        <w:rPr>
          <w:rFonts w:ascii="Arial" w:eastAsia="Times New Roman" w:hAnsi="Arial" w:cs="Arial"/>
          <w:i/>
          <w:szCs w:val="22"/>
          <w:lang w:val="en-US"/>
        </w:rPr>
        <w:t>6</w:t>
      </w:r>
      <w:r w:rsidRPr="00342D4A">
        <w:rPr>
          <w:rFonts w:ascii="Arial" w:eastAsia="Times New Roman" w:hAnsi="Arial" w:cs="Arial"/>
          <w:szCs w:val="22"/>
          <w:lang w:val="en-US"/>
        </w:rPr>
        <w:t>(11).</w:t>
      </w:r>
      <w:proofErr w:type="gramEnd"/>
    </w:p>
    <w:p w:rsidR="00690225" w:rsidRPr="00342D4A" w:rsidRDefault="00690225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b/>
          <w:szCs w:val="22"/>
        </w:rPr>
      </w:pPr>
      <w:r w:rsidRPr="00342D4A">
        <w:rPr>
          <w:rStyle w:val="fontstyle01"/>
          <w:rFonts w:ascii="Arial" w:hAnsi="Arial" w:cs="Arial"/>
          <w:color w:val="auto"/>
          <w:lang w:val="en-US"/>
        </w:rPr>
        <w:t>AVILÉS, L.A. (2001). Epidemiology as a discourse: The politics of development institutions in</w:t>
      </w:r>
      <w:r w:rsidRPr="00342D4A">
        <w:rPr>
          <w:rFonts w:ascii="Arial" w:hAnsi="Arial" w:cs="Arial"/>
          <w:szCs w:val="22"/>
          <w:lang w:val="en-US"/>
        </w:rPr>
        <w:t xml:space="preserve"> </w:t>
      </w:r>
      <w:r w:rsidRPr="00342D4A">
        <w:rPr>
          <w:rStyle w:val="fontstyle01"/>
          <w:rFonts w:ascii="Arial" w:hAnsi="Arial" w:cs="Arial"/>
          <w:color w:val="auto"/>
          <w:lang w:val="en-US"/>
        </w:rPr>
        <w:t xml:space="preserve">the </w:t>
      </w:r>
      <w:proofErr w:type="spellStart"/>
      <w:r w:rsidRPr="00342D4A">
        <w:rPr>
          <w:rStyle w:val="fontstyle01"/>
          <w:rFonts w:ascii="Arial" w:hAnsi="Arial" w:cs="Arial"/>
          <w:color w:val="auto"/>
          <w:lang w:val="en-US"/>
        </w:rPr>
        <w:t>epidemiologycal</w:t>
      </w:r>
      <w:proofErr w:type="spellEnd"/>
      <w:r w:rsidRPr="00342D4A">
        <w:rPr>
          <w:rStyle w:val="fontstyle01"/>
          <w:rFonts w:ascii="Arial" w:hAnsi="Arial" w:cs="Arial"/>
          <w:color w:val="auto"/>
          <w:lang w:val="en-US"/>
        </w:rPr>
        <w:t xml:space="preserve"> profile of El Salvador. </w:t>
      </w:r>
      <w:r w:rsidRPr="00342D4A">
        <w:rPr>
          <w:rStyle w:val="fontstyle01"/>
          <w:rFonts w:ascii="Arial" w:hAnsi="Arial" w:cs="Arial"/>
          <w:i/>
          <w:color w:val="auto"/>
        </w:rPr>
        <w:t xml:space="preserve">J </w:t>
      </w:r>
      <w:proofErr w:type="spellStart"/>
      <w:r w:rsidRPr="00342D4A">
        <w:rPr>
          <w:rStyle w:val="fontstyle01"/>
          <w:rFonts w:ascii="Arial" w:hAnsi="Arial" w:cs="Arial"/>
          <w:i/>
          <w:color w:val="auto"/>
        </w:rPr>
        <w:t>Epidemiol</w:t>
      </w:r>
      <w:proofErr w:type="spellEnd"/>
      <w:r w:rsidRPr="00342D4A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342D4A">
        <w:rPr>
          <w:rStyle w:val="fontstyle01"/>
          <w:rFonts w:ascii="Arial" w:hAnsi="Arial" w:cs="Arial"/>
          <w:i/>
          <w:color w:val="auto"/>
        </w:rPr>
        <w:t>Community</w:t>
      </w:r>
      <w:proofErr w:type="spellEnd"/>
      <w:r w:rsidRPr="00342D4A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342D4A">
        <w:rPr>
          <w:rStyle w:val="fontstyle01"/>
          <w:rFonts w:ascii="Arial" w:hAnsi="Arial" w:cs="Arial"/>
          <w:i/>
          <w:color w:val="auto"/>
        </w:rPr>
        <w:t>Health</w:t>
      </w:r>
      <w:proofErr w:type="spellEnd"/>
      <w:r w:rsidRPr="00342D4A">
        <w:rPr>
          <w:rStyle w:val="fontstyle01"/>
          <w:rFonts w:ascii="Arial" w:hAnsi="Arial" w:cs="Arial"/>
          <w:i/>
          <w:color w:val="auto"/>
        </w:rPr>
        <w:t xml:space="preserve">, </w:t>
      </w:r>
      <w:r w:rsidRPr="00342D4A">
        <w:rPr>
          <w:rStyle w:val="fontstyle01"/>
          <w:rFonts w:ascii="Arial" w:hAnsi="Arial" w:cs="Arial"/>
          <w:color w:val="auto"/>
        </w:rPr>
        <w:t>55, pp.164-171.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BERNABEU, </w:t>
      </w:r>
      <w:proofErr w:type="spellStart"/>
      <w:r w:rsidRPr="00342D4A">
        <w:rPr>
          <w:rFonts w:ascii="Arial" w:eastAsia="Times New Roman" w:hAnsi="Arial" w:cs="Arial"/>
          <w:szCs w:val="22"/>
        </w:rPr>
        <w:t>Mestre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 (1995) “Enfermedad y población. Introducción a los problemas y métodos de la epidemiología histórica”. Valencia: </w:t>
      </w:r>
      <w:proofErr w:type="spellStart"/>
      <w:r w:rsidRPr="00342D4A">
        <w:rPr>
          <w:rFonts w:ascii="Arial" w:eastAsia="Times New Roman" w:hAnsi="Arial" w:cs="Arial"/>
          <w:szCs w:val="22"/>
        </w:rPr>
        <w:t>Seminari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d’Estudis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sobre la Ciencia.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</w:rPr>
      </w:pPr>
      <w:r w:rsidRPr="00342D4A">
        <w:rPr>
          <w:rFonts w:ascii="Arial" w:hAnsi="Arial" w:cs="Arial"/>
          <w:szCs w:val="22"/>
        </w:rPr>
        <w:t xml:space="preserve">BRYSON, B. (2006). </w:t>
      </w:r>
      <w:r w:rsidRPr="00342D4A">
        <w:rPr>
          <w:rFonts w:ascii="Arial" w:hAnsi="Arial" w:cs="Arial"/>
          <w:i/>
          <w:szCs w:val="22"/>
        </w:rPr>
        <w:t>Una breve historia de casi todo</w:t>
      </w:r>
      <w:r w:rsidRPr="00342D4A">
        <w:rPr>
          <w:rFonts w:ascii="Arial" w:hAnsi="Arial" w:cs="Arial"/>
          <w:szCs w:val="22"/>
        </w:rPr>
        <w:t>. Ed. Del nuevo extremo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BUSS, P. M., y TOBAR, S. (2020). La COVID-19 y las oportunidades de cooperación internacional en salud. </w:t>
      </w:r>
      <w:proofErr w:type="spellStart"/>
      <w:r w:rsidRPr="00342D4A">
        <w:rPr>
          <w:rFonts w:ascii="Arial" w:eastAsia="Times New Roman" w:hAnsi="Arial" w:cs="Arial"/>
          <w:i/>
          <w:szCs w:val="22"/>
        </w:rPr>
        <w:t>Cadernos</w:t>
      </w:r>
      <w:proofErr w:type="spellEnd"/>
      <w:r w:rsidRPr="00342D4A">
        <w:rPr>
          <w:rFonts w:ascii="Arial" w:eastAsia="Times New Roman" w:hAnsi="Arial" w:cs="Arial"/>
          <w:i/>
          <w:szCs w:val="22"/>
        </w:rPr>
        <w:t xml:space="preserve"> de </w:t>
      </w:r>
      <w:proofErr w:type="spellStart"/>
      <w:r w:rsidRPr="00342D4A">
        <w:rPr>
          <w:rFonts w:ascii="Arial" w:eastAsia="Times New Roman" w:hAnsi="Arial" w:cs="Arial"/>
          <w:i/>
          <w:szCs w:val="22"/>
        </w:rPr>
        <w:t>Saúde</w:t>
      </w:r>
      <w:proofErr w:type="spellEnd"/>
      <w:r w:rsidRPr="00342D4A">
        <w:rPr>
          <w:rFonts w:ascii="Arial" w:eastAsia="Times New Roman" w:hAnsi="Arial" w:cs="Arial"/>
          <w:i/>
          <w:szCs w:val="22"/>
        </w:rPr>
        <w:t xml:space="preserve"> Pública</w:t>
      </w:r>
      <w:r w:rsidRPr="00342D4A">
        <w:rPr>
          <w:rFonts w:ascii="Arial" w:eastAsia="Times New Roman" w:hAnsi="Arial" w:cs="Arial"/>
          <w:szCs w:val="22"/>
        </w:rPr>
        <w:t>, </w:t>
      </w:r>
      <w:r w:rsidRPr="00342D4A">
        <w:rPr>
          <w:rFonts w:ascii="Arial" w:eastAsia="Times New Roman" w:hAnsi="Arial" w:cs="Arial"/>
          <w:i/>
          <w:szCs w:val="22"/>
        </w:rPr>
        <w:t>36</w:t>
      </w:r>
      <w:r w:rsidRPr="00342D4A">
        <w:rPr>
          <w:rFonts w:ascii="Arial" w:eastAsia="Times New Roman" w:hAnsi="Arial" w:cs="Arial"/>
          <w:szCs w:val="22"/>
        </w:rPr>
        <w:t xml:space="preserve">, e00066920.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  <w:lang w:val="en-US"/>
        </w:rPr>
      </w:pPr>
      <w:r w:rsidRPr="00342D4A">
        <w:rPr>
          <w:rFonts w:ascii="Arial" w:hAnsi="Arial" w:cs="Arial"/>
          <w:szCs w:val="22"/>
        </w:rPr>
        <w:t xml:space="preserve">CAÑETE, F., FRETES, G., SEQUERA, V.G., TURNES, C., SANTACRUZ, E.,  PAIVA, T., y BENITEZ, G. (2016). </w:t>
      </w:r>
      <w:proofErr w:type="gramStart"/>
      <w:r w:rsidRPr="00342D4A">
        <w:rPr>
          <w:rFonts w:ascii="Arial" w:hAnsi="Arial" w:cs="Arial"/>
          <w:szCs w:val="22"/>
          <w:lang w:val="en-US"/>
        </w:rPr>
        <w:t>Epidemiology of obesity in Paraguay.</w:t>
      </w:r>
      <w:proofErr w:type="gramEnd"/>
      <w:r w:rsidRPr="00342D4A">
        <w:rPr>
          <w:rFonts w:ascii="Arial" w:hAnsi="Arial" w:cs="Arial"/>
          <w:szCs w:val="22"/>
          <w:lang w:val="en-US"/>
        </w:rPr>
        <w:t xml:space="preserve"> </w:t>
      </w:r>
      <w:r w:rsidRPr="00342D4A">
        <w:rPr>
          <w:rFonts w:ascii="Arial" w:hAnsi="Arial" w:cs="Arial"/>
          <w:i/>
          <w:szCs w:val="22"/>
          <w:lang w:val="en-US"/>
        </w:rPr>
        <w:t xml:space="preserve">An. Fac. </w:t>
      </w:r>
      <w:proofErr w:type="spellStart"/>
      <w:r w:rsidRPr="00342D4A">
        <w:rPr>
          <w:rFonts w:ascii="Arial" w:hAnsi="Arial" w:cs="Arial"/>
          <w:i/>
          <w:szCs w:val="22"/>
          <w:lang w:val="en-US"/>
        </w:rPr>
        <w:t>Cienc</w:t>
      </w:r>
      <w:proofErr w:type="spellEnd"/>
      <w:r w:rsidRPr="00342D4A">
        <w:rPr>
          <w:rFonts w:ascii="Arial" w:hAnsi="Arial" w:cs="Arial"/>
          <w:i/>
          <w:szCs w:val="22"/>
          <w:lang w:val="en-US"/>
        </w:rPr>
        <w:t xml:space="preserve">. </w:t>
      </w:r>
      <w:proofErr w:type="spellStart"/>
      <w:proofErr w:type="gramStart"/>
      <w:r w:rsidRPr="00342D4A">
        <w:rPr>
          <w:rFonts w:ascii="Arial" w:hAnsi="Arial" w:cs="Arial"/>
          <w:i/>
          <w:szCs w:val="22"/>
          <w:lang w:val="en-US"/>
        </w:rPr>
        <w:t>Méd</w:t>
      </w:r>
      <w:proofErr w:type="spellEnd"/>
      <w:r w:rsidRPr="00342D4A">
        <w:rPr>
          <w:rFonts w:ascii="Arial" w:hAnsi="Arial" w:cs="Arial"/>
          <w:szCs w:val="22"/>
          <w:lang w:val="en-US"/>
        </w:rPr>
        <w:t>.</w:t>
      </w:r>
      <w:proofErr w:type="gramEnd"/>
      <w:r w:rsidRPr="00342D4A">
        <w:rPr>
          <w:rFonts w:ascii="Arial" w:hAnsi="Arial" w:cs="Arial"/>
          <w:szCs w:val="22"/>
          <w:lang w:val="en-US"/>
        </w:rPr>
        <w:t xml:space="preserve"> (Asunción), (02), p.p. 17-026.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Helvetica Neue" w:hAnsi="Arial" w:cs="Arial"/>
          <w:szCs w:val="22"/>
          <w:highlight w:val="white"/>
        </w:rPr>
        <w:t>CARRANZA RODRÍGUEZ, N.</w:t>
      </w:r>
      <w:r w:rsidRPr="00342D4A">
        <w:rPr>
          <w:rFonts w:ascii="Arial" w:eastAsia="Helvetica Neue" w:hAnsi="Arial" w:cs="Arial"/>
          <w:szCs w:val="22"/>
        </w:rPr>
        <w:t xml:space="preserve">, </w:t>
      </w:r>
      <w:r w:rsidRPr="00342D4A">
        <w:rPr>
          <w:rFonts w:ascii="Arial" w:eastAsia="Helvetica Neue" w:hAnsi="Arial" w:cs="Arial"/>
          <w:szCs w:val="22"/>
          <w:highlight w:val="white"/>
        </w:rPr>
        <w:t>VÁZQUEZ CRUZ, M.</w:t>
      </w:r>
      <w:r w:rsidRPr="00342D4A">
        <w:rPr>
          <w:rFonts w:ascii="Arial" w:eastAsia="Helvetica Neue" w:hAnsi="Arial" w:cs="Arial"/>
          <w:szCs w:val="22"/>
        </w:rPr>
        <w:t xml:space="preserve"> y </w:t>
      </w:r>
      <w:r w:rsidRPr="00342D4A">
        <w:rPr>
          <w:rFonts w:ascii="Arial" w:eastAsia="Helvetica Neue" w:hAnsi="Arial" w:cs="Arial"/>
          <w:szCs w:val="22"/>
          <w:highlight w:val="white"/>
        </w:rPr>
        <w:t>RODRÍGUEZ WEBER, M</w:t>
      </w:r>
      <w:proofErr w:type="gramStart"/>
      <w:r w:rsidRPr="00342D4A">
        <w:rPr>
          <w:rFonts w:ascii="Arial" w:eastAsia="Helvetica Neue" w:hAnsi="Arial" w:cs="Arial"/>
          <w:szCs w:val="22"/>
          <w:highlight w:val="white"/>
        </w:rPr>
        <w:t>.(</w:t>
      </w:r>
      <w:proofErr w:type="gramEnd"/>
      <w:r w:rsidRPr="00342D4A">
        <w:rPr>
          <w:rFonts w:ascii="Arial" w:eastAsia="Helvetica Neue" w:hAnsi="Arial" w:cs="Arial"/>
          <w:szCs w:val="22"/>
          <w:highlight w:val="white"/>
        </w:rPr>
        <w:t xml:space="preserve">2003). Transición epidemiológica. </w:t>
      </w:r>
      <w:r w:rsidRPr="00342D4A">
        <w:rPr>
          <w:rFonts w:ascii="Arial" w:eastAsia="Helvetica Neue" w:hAnsi="Arial" w:cs="Arial"/>
          <w:i/>
          <w:szCs w:val="22"/>
          <w:highlight w:val="white"/>
        </w:rPr>
        <w:t>Acta Pediátrica de México</w:t>
      </w:r>
      <w:r w:rsidRPr="00342D4A">
        <w:rPr>
          <w:rFonts w:ascii="Arial" w:eastAsia="Helvetica Neue" w:hAnsi="Arial" w:cs="Arial"/>
          <w:szCs w:val="22"/>
          <w:highlight w:val="white"/>
        </w:rPr>
        <w:t xml:space="preserve"> 24(1):46-56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CASAS, I. y POZO, F. (2005). Síndrome respiratorio agudo grave, gripe aviar e infección por </w:t>
      </w:r>
      <w:proofErr w:type="spellStart"/>
      <w:r w:rsidRPr="00342D4A">
        <w:rPr>
          <w:rFonts w:ascii="Arial" w:eastAsia="Times New Roman" w:hAnsi="Arial" w:cs="Arial"/>
          <w:szCs w:val="22"/>
        </w:rPr>
        <w:t>metapneumovirus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humano.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Enferm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Infecc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Microbiol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Clin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</w:t>
      </w:r>
      <w:r w:rsidRPr="00342D4A">
        <w:rPr>
          <w:rFonts w:ascii="Arial" w:eastAsia="Times New Roman" w:hAnsi="Arial" w:cs="Arial"/>
          <w:szCs w:val="22"/>
          <w:lang w:val="en-US"/>
        </w:rPr>
        <w:t xml:space="preserve">Vol. 7 N° 23, 438-448.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>CASSEN, R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.(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1993).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Economic implications of demographic change.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Trans R Soc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Trop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Med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Hyg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>, 87(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Suppl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1):S13-8.</w:t>
      </w:r>
    </w:p>
    <w:p w:rsidR="003B5A7A" w:rsidRPr="00342D4A" w:rsidRDefault="003B5A7A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highlight w:val="yellow"/>
          <w:lang w:val="en-US"/>
        </w:rPr>
      </w:pPr>
      <w:r w:rsidRPr="00342D4A">
        <w:rPr>
          <w:rFonts w:ascii="Arial" w:hAnsi="Arial" w:cs="Arial"/>
          <w:szCs w:val="22"/>
          <w:shd w:val="clear" w:color="auto" w:fill="FFFFFF"/>
        </w:rPr>
        <w:lastRenderedPageBreak/>
        <w:t xml:space="preserve">CEPAL, N. (2020). América Latina y el Caribe ante la pandemia del COVID-19: efectos económicos y sociales. </w:t>
      </w:r>
      <w:proofErr w:type="spellStart"/>
      <w:r w:rsidRPr="00342D4A">
        <w:rPr>
          <w:rFonts w:ascii="Arial" w:hAnsi="Arial" w:cs="Arial"/>
          <w:szCs w:val="22"/>
          <w:shd w:val="clear" w:color="auto" w:fill="FFFFFF"/>
          <w:lang w:val="en-US"/>
        </w:rPr>
        <w:t>Informe</w:t>
      </w:r>
      <w:proofErr w:type="spellEnd"/>
      <w:r w:rsidRPr="00342D4A">
        <w:rPr>
          <w:rFonts w:ascii="Arial" w:hAnsi="Arial" w:cs="Arial"/>
          <w:szCs w:val="22"/>
          <w:shd w:val="clear" w:color="auto" w:fill="FFFFFF"/>
          <w:lang w:val="en-US"/>
        </w:rPr>
        <w:t xml:space="preserve"> especial COVID-19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  <w:lang w:val="en-US"/>
        </w:rPr>
      </w:pPr>
      <w:r w:rsidRPr="00342D4A">
        <w:rPr>
          <w:rFonts w:ascii="Arial" w:eastAsia="Times" w:hAnsi="Arial" w:cs="Arial"/>
          <w:szCs w:val="22"/>
          <w:lang w:val="en-US"/>
        </w:rPr>
        <w:t>CHEN, L., MACFARLANE</w:t>
      </w:r>
      <w:proofErr w:type="gramStart"/>
      <w:r w:rsidRPr="00342D4A">
        <w:rPr>
          <w:rFonts w:ascii="Arial" w:eastAsia="Times" w:hAnsi="Arial" w:cs="Arial"/>
          <w:szCs w:val="22"/>
          <w:lang w:val="en-US"/>
        </w:rPr>
        <w:t>,  S</w:t>
      </w:r>
      <w:proofErr w:type="gramEnd"/>
      <w:r w:rsidRPr="00342D4A">
        <w:rPr>
          <w:rFonts w:ascii="Arial" w:eastAsia="Times" w:hAnsi="Arial" w:cs="Arial"/>
          <w:szCs w:val="22"/>
          <w:lang w:val="en-US"/>
        </w:rPr>
        <w:t>., y JONES D. (1998). Health transition: from research to policy</w:t>
      </w:r>
      <w:proofErr w:type="gramStart"/>
      <w:r w:rsidRPr="00342D4A">
        <w:rPr>
          <w:rFonts w:ascii="Arial" w:eastAsia="Times" w:hAnsi="Arial" w:cs="Arial"/>
          <w:szCs w:val="22"/>
          <w:lang w:val="en-US"/>
        </w:rPr>
        <w:t>?.</w:t>
      </w:r>
      <w:proofErr w:type="gramEnd"/>
      <w:r w:rsidRPr="00342D4A">
        <w:rPr>
          <w:rFonts w:ascii="Arial" w:eastAsia="Times" w:hAnsi="Arial" w:cs="Arial"/>
          <w:szCs w:val="22"/>
          <w:lang w:val="en-US"/>
        </w:rPr>
        <w:t xml:space="preserve"> </w:t>
      </w:r>
      <w:r w:rsidRPr="00342D4A">
        <w:rPr>
          <w:rFonts w:ascii="Arial" w:eastAsia="Times" w:hAnsi="Arial" w:cs="Arial"/>
          <w:i/>
          <w:szCs w:val="22"/>
          <w:lang w:val="en-US"/>
        </w:rPr>
        <w:t xml:space="preserve">World Health Stat </w:t>
      </w:r>
      <w:proofErr w:type="gramStart"/>
      <w:r w:rsidRPr="00342D4A">
        <w:rPr>
          <w:rFonts w:ascii="Arial" w:eastAsia="Times" w:hAnsi="Arial" w:cs="Arial"/>
          <w:i/>
          <w:szCs w:val="22"/>
          <w:lang w:val="en-US"/>
        </w:rPr>
        <w:t>Q</w:t>
      </w:r>
      <w:r w:rsidRPr="00342D4A">
        <w:rPr>
          <w:rFonts w:ascii="Arial" w:eastAsia="Times" w:hAnsi="Arial" w:cs="Arial"/>
          <w:szCs w:val="22"/>
          <w:lang w:val="en-US"/>
        </w:rPr>
        <w:t xml:space="preserve"> ;53</w:t>
      </w:r>
      <w:proofErr w:type="gramEnd"/>
      <w:r w:rsidRPr="00342D4A">
        <w:rPr>
          <w:rFonts w:ascii="Arial" w:eastAsia="Times" w:hAnsi="Arial" w:cs="Arial"/>
          <w:szCs w:val="22"/>
          <w:lang w:val="en-US"/>
        </w:rPr>
        <w:t>(2-4):137-144.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highlight w:val="white"/>
          <w:lang w:val="en-US"/>
        </w:rPr>
        <w:t xml:space="preserve">CLELAND, J. (1990). </w:t>
      </w:r>
      <w:proofErr w:type="gramStart"/>
      <w:r w:rsidRPr="00342D4A">
        <w:rPr>
          <w:rFonts w:ascii="Arial" w:eastAsia="Times New Roman" w:hAnsi="Arial" w:cs="Arial"/>
          <w:szCs w:val="22"/>
          <w:highlight w:val="white"/>
          <w:lang w:val="en-US"/>
        </w:rPr>
        <w:t>The idea of health transition.</w:t>
      </w:r>
      <w:proofErr w:type="gramEnd"/>
      <w:r w:rsidRPr="00342D4A">
        <w:rPr>
          <w:rFonts w:ascii="Arial" w:eastAsia="Times New Roman" w:hAnsi="Arial" w:cs="Arial"/>
          <w:szCs w:val="22"/>
          <w:highlight w:val="white"/>
          <w:lang w:val="en-US"/>
        </w:rPr>
        <w:t> </w:t>
      </w:r>
      <w:r w:rsidRPr="00342D4A">
        <w:rPr>
          <w:rFonts w:ascii="Arial" w:eastAsia="Times New Roman" w:hAnsi="Arial" w:cs="Arial"/>
          <w:i/>
          <w:szCs w:val="22"/>
          <w:highlight w:val="white"/>
          <w:lang w:val="en-US"/>
        </w:rPr>
        <w:t xml:space="preserve">What we know about health transition. The cultural social and </w:t>
      </w:r>
      <w:proofErr w:type="spellStart"/>
      <w:r w:rsidRPr="00342D4A">
        <w:rPr>
          <w:rFonts w:ascii="Arial" w:eastAsia="Times New Roman" w:hAnsi="Arial" w:cs="Arial"/>
          <w:i/>
          <w:szCs w:val="22"/>
          <w:highlight w:val="white"/>
          <w:lang w:val="en-US"/>
        </w:rPr>
        <w:t>behavioural</w:t>
      </w:r>
      <w:proofErr w:type="spellEnd"/>
      <w:r w:rsidRPr="00342D4A">
        <w:rPr>
          <w:rFonts w:ascii="Arial" w:eastAsia="Times New Roman" w:hAnsi="Arial" w:cs="Arial"/>
          <w:i/>
          <w:szCs w:val="22"/>
          <w:highlight w:val="white"/>
          <w:lang w:val="en-US"/>
        </w:rPr>
        <w:t xml:space="preserve"> determinants of health, Canberra, Australian National University</w:t>
      </w:r>
      <w:r w:rsidRPr="00342D4A">
        <w:rPr>
          <w:rFonts w:ascii="Arial" w:eastAsia="Times New Roman" w:hAnsi="Arial" w:cs="Arial"/>
          <w:szCs w:val="22"/>
          <w:highlight w:val="white"/>
          <w:lang w:val="en-US"/>
        </w:rPr>
        <w:t>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u w:val="single"/>
        </w:rPr>
      </w:pPr>
      <w:r w:rsidRPr="00342D4A">
        <w:rPr>
          <w:rFonts w:ascii="Arial" w:eastAsia="Times New Roman" w:hAnsi="Arial" w:cs="Arial"/>
          <w:szCs w:val="22"/>
        </w:rPr>
        <w:t>CORREA, Federico  (2020). Capitalismo, pandemia y crisis global: reflexiones sobre la covid-19 y nuevas formas editoriales. Dixit.</w:t>
      </w:r>
      <w:r w:rsidRPr="00342D4A">
        <w:rPr>
          <w:rFonts w:ascii="Arial" w:eastAsia="Times New Roman" w:hAnsi="Arial" w:cs="Arial"/>
          <w:szCs w:val="22"/>
          <w:u w:val="single"/>
        </w:rPr>
        <w:t xml:space="preserve"> </w:t>
      </w:r>
    </w:p>
    <w:p w:rsidR="003B5A7A" w:rsidRPr="00342D4A" w:rsidRDefault="003B5A7A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hAnsi="Arial" w:cs="Arial"/>
          <w:szCs w:val="22"/>
        </w:rPr>
        <w:t xml:space="preserve">FANTA, </w:t>
      </w:r>
      <w:r w:rsidRPr="00342D4A">
        <w:rPr>
          <w:rFonts w:ascii="Arial" w:hAnsi="Arial" w:cs="Arial"/>
          <w:szCs w:val="22"/>
          <w:shd w:val="clear" w:color="auto" w:fill="FFFFFF"/>
        </w:rPr>
        <w:t xml:space="preserve">J. y TUMAS, N. (2020). </w:t>
      </w:r>
      <w:proofErr w:type="spellStart"/>
      <w:r w:rsidRPr="00342D4A">
        <w:rPr>
          <w:rFonts w:ascii="Arial" w:hAnsi="Arial" w:cs="Arial"/>
          <w:szCs w:val="22"/>
          <w:shd w:val="clear" w:color="auto" w:fill="FFFFFF"/>
        </w:rPr>
        <w:t>Sincronicidades</w:t>
      </w:r>
      <w:proofErr w:type="spellEnd"/>
      <w:r w:rsidRPr="00342D4A">
        <w:rPr>
          <w:rFonts w:ascii="Arial" w:hAnsi="Arial" w:cs="Arial"/>
          <w:szCs w:val="22"/>
          <w:shd w:val="clear" w:color="auto" w:fill="FFFFFF"/>
        </w:rPr>
        <w:t xml:space="preserve"> entre la transición sanitaria y la segunda transición demográfica en Argentina durante la primera década del siglo XXI. </w:t>
      </w:r>
      <w:r w:rsidRPr="00342D4A">
        <w:rPr>
          <w:rFonts w:ascii="Arial" w:hAnsi="Arial" w:cs="Arial"/>
          <w:i/>
          <w:iCs/>
          <w:szCs w:val="22"/>
          <w:shd w:val="clear" w:color="auto" w:fill="FFFFFF"/>
        </w:rPr>
        <w:t>Revista Latinoamericana de Población</w:t>
      </w:r>
      <w:r w:rsidRPr="00342D4A">
        <w:rPr>
          <w:rFonts w:ascii="Arial" w:hAnsi="Arial" w:cs="Arial"/>
          <w:szCs w:val="22"/>
          <w:shd w:val="clear" w:color="auto" w:fill="FFFFFF"/>
        </w:rPr>
        <w:t>, </w:t>
      </w:r>
      <w:r w:rsidRPr="00342D4A">
        <w:rPr>
          <w:rFonts w:ascii="Arial" w:hAnsi="Arial" w:cs="Arial"/>
          <w:i/>
          <w:iCs/>
          <w:szCs w:val="22"/>
          <w:shd w:val="clear" w:color="auto" w:fill="FFFFFF"/>
        </w:rPr>
        <w:t>14</w:t>
      </w:r>
      <w:r w:rsidRPr="00342D4A">
        <w:rPr>
          <w:rFonts w:ascii="Arial" w:hAnsi="Arial" w:cs="Arial"/>
          <w:szCs w:val="22"/>
          <w:shd w:val="clear" w:color="auto" w:fill="FFFFFF"/>
        </w:rPr>
        <w:t>(27), 257-295.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u w:val="single"/>
        </w:rPr>
      </w:pPr>
      <w:r w:rsidRPr="00342D4A">
        <w:rPr>
          <w:rFonts w:ascii="Arial" w:eastAsia="Times" w:hAnsi="Arial" w:cs="Arial"/>
          <w:szCs w:val="22"/>
        </w:rPr>
        <w:t xml:space="preserve">FREDERIKSEN, H. (1969). </w:t>
      </w:r>
      <w:proofErr w:type="spellStart"/>
      <w:r w:rsidRPr="00342D4A">
        <w:rPr>
          <w:rFonts w:ascii="Arial" w:eastAsia="Times" w:hAnsi="Arial" w:cs="Arial"/>
          <w:szCs w:val="22"/>
        </w:rPr>
        <w:t>Feedbacks</w:t>
      </w:r>
      <w:proofErr w:type="spellEnd"/>
      <w:r w:rsidRPr="00342D4A">
        <w:rPr>
          <w:rFonts w:ascii="Arial" w:eastAsia="Times" w:hAnsi="Arial" w:cs="Arial"/>
          <w:szCs w:val="22"/>
        </w:rPr>
        <w:t xml:space="preserve"> in </w:t>
      </w:r>
      <w:proofErr w:type="spellStart"/>
      <w:r w:rsidRPr="00342D4A">
        <w:rPr>
          <w:rFonts w:ascii="Arial" w:eastAsia="Times" w:hAnsi="Arial" w:cs="Arial"/>
          <w:szCs w:val="22"/>
        </w:rPr>
        <w:t>economic</w:t>
      </w:r>
      <w:proofErr w:type="spellEnd"/>
      <w:r w:rsidRPr="00342D4A">
        <w:rPr>
          <w:rFonts w:ascii="Arial" w:eastAsia="Times" w:hAnsi="Arial" w:cs="Arial"/>
          <w:szCs w:val="22"/>
        </w:rPr>
        <w:t xml:space="preserve"> </w:t>
      </w:r>
      <w:proofErr w:type="spellStart"/>
      <w:r w:rsidRPr="00342D4A">
        <w:rPr>
          <w:rFonts w:ascii="Arial" w:eastAsia="Times" w:hAnsi="Arial" w:cs="Arial"/>
          <w:szCs w:val="22"/>
        </w:rPr>
        <w:t>an</w:t>
      </w:r>
      <w:proofErr w:type="spellEnd"/>
      <w:r w:rsidRPr="00342D4A">
        <w:rPr>
          <w:rFonts w:ascii="Arial" w:eastAsia="Times" w:hAnsi="Arial" w:cs="Arial"/>
          <w:szCs w:val="22"/>
        </w:rPr>
        <w:t xml:space="preserve"> </w:t>
      </w:r>
      <w:proofErr w:type="spellStart"/>
      <w:r w:rsidRPr="00342D4A">
        <w:rPr>
          <w:rFonts w:ascii="Arial" w:eastAsia="Times" w:hAnsi="Arial" w:cs="Arial"/>
          <w:szCs w:val="22"/>
        </w:rPr>
        <w:t>demographic</w:t>
      </w:r>
      <w:proofErr w:type="spellEnd"/>
      <w:r w:rsidRPr="00342D4A">
        <w:rPr>
          <w:rFonts w:ascii="Arial" w:eastAsia="Times" w:hAnsi="Arial" w:cs="Arial"/>
          <w:szCs w:val="22"/>
        </w:rPr>
        <w:t xml:space="preserve"> </w:t>
      </w:r>
      <w:proofErr w:type="spellStart"/>
      <w:r w:rsidRPr="00342D4A">
        <w:rPr>
          <w:rFonts w:ascii="Arial" w:eastAsia="Times" w:hAnsi="Arial" w:cs="Arial"/>
          <w:szCs w:val="22"/>
        </w:rPr>
        <w:t>transition</w:t>
      </w:r>
      <w:proofErr w:type="spellEnd"/>
      <w:r w:rsidRPr="00342D4A">
        <w:rPr>
          <w:rFonts w:ascii="Arial" w:eastAsia="Times" w:hAnsi="Arial" w:cs="Arial"/>
          <w:szCs w:val="22"/>
        </w:rPr>
        <w:t xml:space="preserve">. </w:t>
      </w:r>
      <w:r w:rsidRPr="00342D4A">
        <w:rPr>
          <w:rFonts w:ascii="Arial" w:eastAsia="Times" w:hAnsi="Arial" w:cs="Arial"/>
          <w:i/>
          <w:szCs w:val="22"/>
        </w:rPr>
        <w:t>Science</w:t>
      </w:r>
      <w:proofErr w:type="gramStart"/>
      <w:r w:rsidRPr="00342D4A">
        <w:rPr>
          <w:rFonts w:ascii="Arial" w:eastAsia="Times" w:hAnsi="Arial" w:cs="Arial"/>
          <w:szCs w:val="22"/>
        </w:rPr>
        <w:t>;166:837</w:t>
      </w:r>
      <w:proofErr w:type="gramEnd"/>
      <w:r w:rsidRPr="00342D4A">
        <w:rPr>
          <w:rFonts w:ascii="Arial" w:eastAsia="Times" w:hAnsi="Arial" w:cs="Arial"/>
          <w:szCs w:val="22"/>
        </w:rPr>
        <w:t>-847.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FRENK J, FREJKA T, BOBADILLA JL, STERN C, LOZANO R, y Sepúlveda</w:t>
      </w:r>
      <w:r w:rsidR="00572CD5" w:rsidRPr="00342D4A">
        <w:rPr>
          <w:rFonts w:ascii="Arial" w:eastAsia="Times New Roman" w:hAnsi="Arial" w:cs="Arial"/>
          <w:szCs w:val="22"/>
        </w:rPr>
        <w:t>,</w:t>
      </w:r>
      <w:r w:rsidRPr="00342D4A">
        <w:rPr>
          <w:rFonts w:ascii="Arial" w:eastAsia="Times New Roman" w:hAnsi="Arial" w:cs="Arial"/>
          <w:szCs w:val="22"/>
        </w:rPr>
        <w:t xml:space="preserve"> J</w:t>
      </w:r>
      <w:r w:rsidR="00572CD5" w:rsidRPr="00342D4A">
        <w:rPr>
          <w:rFonts w:ascii="Arial" w:eastAsia="Times New Roman" w:hAnsi="Arial" w:cs="Arial"/>
          <w:szCs w:val="22"/>
        </w:rPr>
        <w:t>.</w:t>
      </w:r>
      <w:r w:rsidRPr="00342D4A">
        <w:rPr>
          <w:rFonts w:ascii="Arial" w:eastAsia="Times New Roman" w:hAnsi="Arial" w:cs="Arial"/>
          <w:szCs w:val="22"/>
        </w:rPr>
        <w:t>M</w:t>
      </w:r>
      <w:r w:rsidR="00572CD5" w:rsidRPr="00342D4A">
        <w:rPr>
          <w:rFonts w:ascii="Arial" w:eastAsia="Times New Roman" w:hAnsi="Arial" w:cs="Arial"/>
          <w:szCs w:val="22"/>
        </w:rPr>
        <w:t>.</w:t>
      </w:r>
      <w:r w:rsidRPr="00342D4A">
        <w:rPr>
          <w:rFonts w:ascii="Arial" w:eastAsia="Times New Roman" w:hAnsi="Arial" w:cs="Arial"/>
          <w:szCs w:val="22"/>
        </w:rPr>
        <w:t xml:space="preserve"> (1991) .La transición epidemiológica en América Latina. Bol of </w:t>
      </w:r>
      <w:proofErr w:type="spellStart"/>
      <w:r w:rsidRPr="00342D4A">
        <w:rPr>
          <w:rFonts w:ascii="Arial" w:eastAsia="Times New Roman" w:hAnsi="Arial" w:cs="Arial"/>
          <w:szCs w:val="22"/>
        </w:rPr>
        <w:t>Sanit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Panam</w:t>
      </w:r>
      <w:proofErr w:type="spellEnd"/>
      <w:r w:rsidRPr="00342D4A">
        <w:rPr>
          <w:rFonts w:ascii="Arial" w:eastAsia="Times New Roman" w:hAnsi="Arial" w:cs="Arial"/>
          <w:szCs w:val="22"/>
        </w:rPr>
        <w:t>, 111:485-496.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GARCIA-MORO, C., HERNANDEZ, M., MORAL P., GONZALEZ-MARTIN, A. (2000).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Epidemiological transition in Easter Island (1914-1996).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Am J Human Biology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,12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(3):371-381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GAYLIN, D.S, y KATES J. (1997).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Refocusing the lens: Epidemiological transition theory, mortality differentials and the AIDS pandemic.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Soc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Sci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Med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;44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(5):609-621.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>GOLDSTEIN, J. R. y WACHTER, K.W. (2006), “Relationships between period and cohort life expectancy: gaps and lags”, Population Studies, vol. 60, Nº 3.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  <w:highlight w:val="white"/>
        </w:rPr>
        <w:t>GÓMEZ, R. D. (2001). La transición en epidemiología y salud pública:¿ explicación o condena</w:t>
      </w:r>
      <w:proofErr w:type="gramStart"/>
      <w:r w:rsidRPr="00342D4A">
        <w:rPr>
          <w:rFonts w:ascii="Arial" w:eastAsia="Times New Roman" w:hAnsi="Arial" w:cs="Arial"/>
          <w:szCs w:val="22"/>
          <w:highlight w:val="white"/>
        </w:rPr>
        <w:t>?.</w:t>
      </w:r>
      <w:proofErr w:type="gramEnd"/>
      <w:r w:rsidRPr="00342D4A">
        <w:rPr>
          <w:rFonts w:ascii="Arial" w:eastAsia="Times New Roman" w:hAnsi="Arial" w:cs="Arial"/>
          <w:szCs w:val="22"/>
          <w:highlight w:val="white"/>
        </w:rPr>
        <w:t> </w:t>
      </w:r>
      <w:r w:rsidRPr="00342D4A">
        <w:rPr>
          <w:rFonts w:ascii="Arial" w:eastAsia="Times New Roman" w:hAnsi="Arial" w:cs="Arial"/>
          <w:i/>
          <w:szCs w:val="22"/>
          <w:highlight w:val="white"/>
        </w:rPr>
        <w:t>Revista Facultad Nacional de Salud Pública</w:t>
      </w:r>
      <w:r w:rsidRPr="00342D4A">
        <w:rPr>
          <w:rFonts w:ascii="Arial" w:eastAsia="Times New Roman" w:hAnsi="Arial" w:cs="Arial"/>
          <w:szCs w:val="22"/>
          <w:highlight w:val="white"/>
        </w:rPr>
        <w:t>, </w:t>
      </w:r>
      <w:r w:rsidRPr="00342D4A">
        <w:rPr>
          <w:rFonts w:ascii="Arial" w:eastAsia="Times New Roman" w:hAnsi="Arial" w:cs="Arial"/>
          <w:i/>
          <w:szCs w:val="22"/>
          <w:highlight w:val="white"/>
        </w:rPr>
        <w:t>19</w:t>
      </w:r>
      <w:r w:rsidRPr="00342D4A">
        <w:rPr>
          <w:rFonts w:ascii="Arial" w:eastAsia="Times New Roman" w:hAnsi="Arial" w:cs="Arial"/>
          <w:szCs w:val="22"/>
          <w:highlight w:val="white"/>
        </w:rPr>
        <w:t>(2).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GONZÁLEZ, J. M. G. (2014). ¿Por qué vivimos más? Descomposición por causa de la esperanza de vida española de 1980 a 2009. </w:t>
      </w:r>
      <w:r w:rsidRPr="00342D4A">
        <w:rPr>
          <w:rFonts w:ascii="Arial" w:eastAsia="Times New Roman" w:hAnsi="Arial" w:cs="Arial"/>
          <w:i/>
          <w:szCs w:val="22"/>
        </w:rPr>
        <w:t>Revista Española de Investigaciones Sociológicas (REIS)</w:t>
      </w:r>
      <w:r w:rsidRPr="00342D4A">
        <w:rPr>
          <w:rFonts w:ascii="Arial" w:eastAsia="Times New Roman" w:hAnsi="Arial" w:cs="Arial"/>
          <w:szCs w:val="22"/>
        </w:rPr>
        <w:t>, </w:t>
      </w:r>
      <w:r w:rsidRPr="00342D4A">
        <w:rPr>
          <w:rFonts w:ascii="Arial" w:eastAsia="Times New Roman" w:hAnsi="Arial" w:cs="Arial"/>
          <w:i/>
          <w:szCs w:val="22"/>
        </w:rPr>
        <w:t>148</w:t>
      </w:r>
      <w:r w:rsidRPr="00342D4A">
        <w:rPr>
          <w:rFonts w:ascii="Arial" w:eastAsia="Times New Roman" w:hAnsi="Arial" w:cs="Arial"/>
          <w:szCs w:val="22"/>
        </w:rPr>
        <w:t>(1), 39-59.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GRIBBLE J.N. y PRESTON S.H. (1993).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Introduction.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En: Gribble JN, Preston SH.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The epidemiological transition.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Policy and planning implication for development countries.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Washington, DC: Workshop Proceedings National Academy.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HUENCHUAN, S. (2018). Envejecimiento, personas mayores y Agenda 2030 para el Desarrollo Sostenible: perspectiva regional y de derechos humanos.  Libros de la CEPAL, N° 154 (LC/PUB.2018/24-P), Santiago, Comisión Económica para América Latina y el Caribe (CEPAL).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" w:hAnsi="Arial" w:cs="Arial"/>
          <w:szCs w:val="22"/>
          <w:lang w:val="en-US"/>
        </w:rPr>
      </w:pPr>
      <w:proofErr w:type="gramStart"/>
      <w:r w:rsidRPr="00342D4A">
        <w:rPr>
          <w:rFonts w:ascii="Arial" w:eastAsia="Times" w:hAnsi="Arial" w:cs="Arial"/>
          <w:szCs w:val="22"/>
          <w:lang w:val="en-US"/>
        </w:rPr>
        <w:t>KAROLY, L. y BURTLESS, G (1995).</w:t>
      </w:r>
      <w:proofErr w:type="gramEnd"/>
      <w:r w:rsidRPr="00342D4A">
        <w:rPr>
          <w:rFonts w:ascii="Arial" w:eastAsia="Times" w:hAnsi="Arial" w:cs="Arial"/>
          <w:szCs w:val="22"/>
          <w:lang w:val="en-US"/>
        </w:rPr>
        <w:t xml:space="preserve"> Demographic change, rising earnings inequality and </w:t>
      </w:r>
      <w:proofErr w:type="spellStart"/>
      <w:r w:rsidRPr="00342D4A">
        <w:rPr>
          <w:rFonts w:ascii="Arial" w:eastAsia="Times" w:hAnsi="Arial" w:cs="Arial"/>
          <w:szCs w:val="22"/>
          <w:lang w:val="en-US"/>
        </w:rPr>
        <w:t>thedistribution</w:t>
      </w:r>
      <w:proofErr w:type="spellEnd"/>
      <w:r w:rsidRPr="00342D4A">
        <w:rPr>
          <w:rFonts w:ascii="Arial" w:eastAsia="Times" w:hAnsi="Arial" w:cs="Arial"/>
          <w:szCs w:val="22"/>
          <w:lang w:val="en-US"/>
        </w:rPr>
        <w:t xml:space="preserve"> of personal well-being, 1959-1989. </w:t>
      </w:r>
      <w:r w:rsidRPr="00342D4A">
        <w:rPr>
          <w:rFonts w:ascii="Arial" w:eastAsia="Times" w:hAnsi="Arial" w:cs="Arial"/>
          <w:i/>
          <w:szCs w:val="22"/>
          <w:lang w:val="en-US"/>
        </w:rPr>
        <w:t xml:space="preserve">Demography, </w:t>
      </w:r>
      <w:proofErr w:type="spellStart"/>
      <w:r w:rsidRPr="00342D4A">
        <w:rPr>
          <w:rFonts w:ascii="Arial" w:eastAsia="Times" w:hAnsi="Arial" w:cs="Arial"/>
          <w:i/>
          <w:szCs w:val="22"/>
          <w:lang w:val="en-US"/>
        </w:rPr>
        <w:t>volumen</w:t>
      </w:r>
      <w:proofErr w:type="spellEnd"/>
      <w:r w:rsidRPr="00342D4A">
        <w:rPr>
          <w:rFonts w:ascii="Arial" w:eastAsia="Times" w:hAnsi="Arial" w:cs="Arial"/>
          <w:i/>
          <w:szCs w:val="22"/>
          <w:lang w:val="en-US"/>
        </w:rPr>
        <w:t xml:space="preserve"> 32</w:t>
      </w:r>
      <w:r w:rsidRPr="00342D4A">
        <w:rPr>
          <w:rFonts w:ascii="Arial" w:eastAsia="Times" w:hAnsi="Arial" w:cs="Arial"/>
          <w:szCs w:val="22"/>
          <w:lang w:val="en-US"/>
        </w:rPr>
        <w:t>, pp. 379-405.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  <w:lang w:val="en-US"/>
        </w:rPr>
        <w:t>KELLEY A.C. y SCHMIDT R.M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.(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1995). Aggregate population and economic growth correlations: the role of the components of demographic change. </w:t>
      </w:r>
      <w:r w:rsidRPr="00342D4A">
        <w:rPr>
          <w:rFonts w:ascii="Arial" w:eastAsia="Times New Roman" w:hAnsi="Arial" w:cs="Arial"/>
          <w:szCs w:val="22"/>
        </w:rPr>
        <w:t>Demography</w:t>
      </w:r>
      <w:proofErr w:type="gramStart"/>
      <w:r w:rsidRPr="00342D4A">
        <w:rPr>
          <w:rFonts w:ascii="Arial" w:eastAsia="Times New Roman" w:hAnsi="Arial" w:cs="Arial"/>
          <w:szCs w:val="22"/>
        </w:rPr>
        <w:t>;32</w:t>
      </w:r>
      <w:proofErr w:type="gramEnd"/>
      <w:r w:rsidRPr="00342D4A">
        <w:rPr>
          <w:rFonts w:ascii="Arial" w:eastAsia="Times New Roman" w:hAnsi="Arial" w:cs="Arial"/>
          <w:szCs w:val="22"/>
        </w:rPr>
        <w:t>(4):543-555.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Arial" w:hAnsi="Arial" w:cs="Arial"/>
          <w:szCs w:val="22"/>
          <w:highlight w:val="white"/>
        </w:rPr>
      </w:pPr>
      <w:r w:rsidRPr="00342D4A">
        <w:rPr>
          <w:rFonts w:ascii="Arial" w:eastAsia="Arial" w:hAnsi="Arial" w:cs="Arial"/>
          <w:szCs w:val="22"/>
          <w:highlight w:val="white"/>
        </w:rPr>
        <w:t xml:space="preserve">KURI-MORALES P., GUZMÁN-MORALES, E., DE LA PAZ-NICOLAU E, SALAS- FERNÁNDEZ A. (2015). Enfermedades emergentes y reemergentes. </w:t>
      </w:r>
      <w:proofErr w:type="spellStart"/>
      <w:r w:rsidRPr="00342D4A">
        <w:rPr>
          <w:rFonts w:ascii="Arial" w:eastAsia="Arial" w:hAnsi="Arial" w:cs="Arial"/>
          <w:szCs w:val="22"/>
          <w:highlight w:val="white"/>
        </w:rPr>
        <w:t>Gac</w:t>
      </w:r>
      <w:proofErr w:type="spellEnd"/>
      <w:r w:rsidRPr="00342D4A">
        <w:rPr>
          <w:rFonts w:ascii="Arial" w:eastAsia="Arial" w:hAnsi="Arial" w:cs="Arial"/>
          <w:szCs w:val="22"/>
          <w:highlight w:val="white"/>
        </w:rPr>
        <w:t xml:space="preserve"> </w:t>
      </w:r>
      <w:proofErr w:type="spellStart"/>
      <w:r w:rsidRPr="00342D4A">
        <w:rPr>
          <w:rFonts w:ascii="Arial" w:eastAsia="Arial" w:hAnsi="Arial" w:cs="Arial"/>
          <w:szCs w:val="22"/>
          <w:highlight w:val="white"/>
        </w:rPr>
        <w:t>Med</w:t>
      </w:r>
      <w:proofErr w:type="spellEnd"/>
      <w:r w:rsidRPr="00342D4A">
        <w:rPr>
          <w:rFonts w:ascii="Arial" w:eastAsia="Arial" w:hAnsi="Arial" w:cs="Arial"/>
          <w:szCs w:val="22"/>
          <w:highlight w:val="white"/>
        </w:rPr>
        <w:t xml:space="preserve"> Mex.151: 674-680.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</w:rPr>
      </w:pPr>
      <w:r w:rsidRPr="00342D4A">
        <w:rPr>
          <w:rFonts w:ascii="Arial" w:hAnsi="Arial" w:cs="Arial"/>
          <w:szCs w:val="22"/>
        </w:rPr>
        <w:t xml:space="preserve">KURI-MORALES, P. (2011). La transición en salud y su impacto en la demanda de servicios, </w:t>
      </w:r>
      <w:proofErr w:type="spellStart"/>
      <w:r w:rsidRPr="00342D4A">
        <w:rPr>
          <w:rFonts w:ascii="Arial" w:hAnsi="Arial" w:cs="Arial"/>
          <w:szCs w:val="22"/>
        </w:rPr>
        <w:t>Gac</w:t>
      </w:r>
      <w:proofErr w:type="spellEnd"/>
      <w:r w:rsidRPr="00342D4A">
        <w:rPr>
          <w:rFonts w:ascii="Arial" w:hAnsi="Arial" w:cs="Arial"/>
          <w:szCs w:val="22"/>
        </w:rPr>
        <w:t xml:space="preserve"> </w:t>
      </w:r>
      <w:proofErr w:type="spellStart"/>
      <w:r w:rsidRPr="00342D4A">
        <w:rPr>
          <w:rFonts w:ascii="Arial" w:hAnsi="Arial" w:cs="Arial"/>
          <w:szCs w:val="22"/>
        </w:rPr>
        <w:t>Med</w:t>
      </w:r>
      <w:proofErr w:type="spellEnd"/>
      <w:r w:rsidRPr="00342D4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342D4A">
        <w:rPr>
          <w:rFonts w:ascii="Arial" w:hAnsi="Arial" w:cs="Arial"/>
          <w:szCs w:val="22"/>
        </w:rPr>
        <w:t>Mex</w:t>
      </w:r>
      <w:proofErr w:type="spellEnd"/>
      <w:r w:rsidRPr="00342D4A">
        <w:rPr>
          <w:rFonts w:ascii="Arial" w:hAnsi="Arial" w:cs="Arial"/>
          <w:szCs w:val="22"/>
        </w:rPr>
        <w:t xml:space="preserve"> .</w:t>
      </w:r>
      <w:proofErr w:type="gramEnd"/>
      <w:r w:rsidRPr="00342D4A">
        <w:rPr>
          <w:rFonts w:ascii="Arial" w:hAnsi="Arial" w:cs="Arial"/>
          <w:szCs w:val="22"/>
        </w:rPr>
        <w:t xml:space="preserve"> 2011</w:t>
      </w:r>
      <w:proofErr w:type="gramStart"/>
      <w:r w:rsidRPr="00342D4A">
        <w:rPr>
          <w:rFonts w:ascii="Arial" w:hAnsi="Arial" w:cs="Arial"/>
          <w:szCs w:val="22"/>
        </w:rPr>
        <w:t>;174</w:t>
      </w:r>
      <w:proofErr w:type="gramEnd"/>
      <w:r w:rsidRPr="00342D4A">
        <w:rPr>
          <w:rFonts w:ascii="Arial" w:hAnsi="Arial" w:cs="Arial"/>
          <w:szCs w:val="22"/>
        </w:rPr>
        <w:t>(6):451-4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lastRenderedPageBreak/>
        <w:t>LUDERT, J. E., y FRANCO CORTÉS, M. A. (2020). La pandemia de COVID-19,¿ qué podemos aprender para la próxima</w:t>
      </w:r>
      <w:proofErr w:type="gramStart"/>
      <w:r w:rsidRPr="00342D4A">
        <w:rPr>
          <w:rFonts w:ascii="Arial" w:eastAsia="Times New Roman" w:hAnsi="Arial" w:cs="Arial"/>
          <w:szCs w:val="22"/>
        </w:rPr>
        <w:t>?.</w:t>
      </w:r>
      <w:proofErr w:type="gramEnd"/>
      <w:r w:rsidRPr="00342D4A">
        <w:rPr>
          <w:rFonts w:ascii="Arial" w:eastAsia="Times New Roman" w:hAnsi="Arial" w:cs="Arial"/>
          <w:szCs w:val="22"/>
        </w:rPr>
        <w:t> </w:t>
      </w:r>
      <w:proofErr w:type="spellStart"/>
      <w:r w:rsidRPr="00342D4A">
        <w:rPr>
          <w:rFonts w:ascii="Arial" w:eastAsia="Times New Roman" w:hAnsi="Arial" w:cs="Arial"/>
          <w:i/>
          <w:szCs w:val="22"/>
        </w:rPr>
        <w:t>Universitas</w:t>
      </w:r>
      <w:proofErr w:type="spellEnd"/>
      <w:r w:rsidRPr="00342D4A">
        <w:rPr>
          <w:rFonts w:ascii="Arial" w:eastAsia="Times New Roman" w:hAnsi="Arial" w:cs="Arial"/>
          <w:i/>
          <w:szCs w:val="22"/>
        </w:rPr>
        <w:t xml:space="preserve"> Medica</w:t>
      </w:r>
      <w:r w:rsidRPr="00342D4A">
        <w:rPr>
          <w:rFonts w:ascii="Arial" w:eastAsia="Times New Roman" w:hAnsi="Arial" w:cs="Arial"/>
          <w:szCs w:val="22"/>
        </w:rPr>
        <w:t>, </w:t>
      </w:r>
      <w:r w:rsidRPr="00342D4A">
        <w:rPr>
          <w:rFonts w:ascii="Arial" w:eastAsia="Times New Roman" w:hAnsi="Arial" w:cs="Arial"/>
          <w:i/>
          <w:szCs w:val="22"/>
        </w:rPr>
        <w:t>61</w:t>
      </w:r>
      <w:r w:rsidRPr="00342D4A">
        <w:rPr>
          <w:rFonts w:ascii="Arial" w:eastAsia="Times New Roman" w:hAnsi="Arial" w:cs="Arial"/>
          <w:szCs w:val="22"/>
        </w:rPr>
        <w:t>(3), 1-3.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MEDINA, J. (2020). Pandemia por SARS-CoV-2 (COVID-19): entre la incertidumbre y la fortaleza. </w:t>
      </w:r>
      <w:r w:rsidRPr="00342D4A">
        <w:rPr>
          <w:rFonts w:ascii="Arial" w:eastAsia="Times New Roman" w:hAnsi="Arial" w:cs="Arial"/>
          <w:i/>
          <w:szCs w:val="22"/>
        </w:rPr>
        <w:t>Revista Médica del Uruguay</w:t>
      </w:r>
      <w:r w:rsidRPr="00342D4A">
        <w:rPr>
          <w:rFonts w:ascii="Arial" w:eastAsia="Times New Roman" w:hAnsi="Arial" w:cs="Arial"/>
          <w:szCs w:val="22"/>
        </w:rPr>
        <w:t>, </w:t>
      </w:r>
      <w:r w:rsidRPr="00342D4A">
        <w:rPr>
          <w:rFonts w:ascii="Arial" w:eastAsia="Times New Roman" w:hAnsi="Arial" w:cs="Arial"/>
          <w:i/>
          <w:szCs w:val="22"/>
        </w:rPr>
        <w:t>36</w:t>
      </w:r>
      <w:r w:rsidRPr="00342D4A">
        <w:rPr>
          <w:rFonts w:ascii="Arial" w:eastAsia="Times New Roman" w:hAnsi="Arial" w:cs="Arial"/>
          <w:szCs w:val="22"/>
        </w:rPr>
        <w:t>(2), 6-11.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</w:rPr>
      </w:pPr>
      <w:r w:rsidRPr="00342D4A">
        <w:rPr>
          <w:rFonts w:ascii="Arial" w:hAnsi="Arial" w:cs="Arial"/>
          <w:szCs w:val="22"/>
        </w:rPr>
        <w:t xml:space="preserve">MIN, J., ZHAO, Y., SLIVKA, L. y WANG, Y. (2018). </w:t>
      </w:r>
      <w:r w:rsidRPr="00342D4A">
        <w:rPr>
          <w:rFonts w:ascii="Arial" w:hAnsi="Arial" w:cs="Arial"/>
          <w:szCs w:val="22"/>
          <w:lang w:val="en-US"/>
        </w:rPr>
        <w:t xml:space="preserve">Double burden of diseases worldwide: coexistence of under nutrition and over nutrition-related non-communicable chronic diseases. </w:t>
      </w:r>
      <w:proofErr w:type="spellStart"/>
      <w:r w:rsidRPr="00342D4A">
        <w:rPr>
          <w:rFonts w:ascii="Arial" w:hAnsi="Arial" w:cs="Arial"/>
          <w:i/>
          <w:szCs w:val="22"/>
        </w:rPr>
        <w:t>Obes</w:t>
      </w:r>
      <w:proofErr w:type="spellEnd"/>
      <w:r w:rsidRPr="00342D4A">
        <w:rPr>
          <w:rFonts w:ascii="Arial" w:hAnsi="Arial" w:cs="Arial"/>
          <w:i/>
          <w:szCs w:val="22"/>
        </w:rPr>
        <w:t xml:space="preserve"> Rev., volumen 19</w:t>
      </w:r>
      <w:r w:rsidRPr="00342D4A">
        <w:rPr>
          <w:rFonts w:ascii="Arial" w:hAnsi="Arial" w:cs="Arial"/>
          <w:szCs w:val="22"/>
        </w:rPr>
        <w:t>, pp.49-61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MURILLO, Javier y </w:t>
      </w:r>
      <w:proofErr w:type="gramStart"/>
      <w:r w:rsidRPr="00342D4A">
        <w:rPr>
          <w:rFonts w:ascii="Arial" w:eastAsia="Times New Roman" w:hAnsi="Arial" w:cs="Arial"/>
          <w:szCs w:val="22"/>
        </w:rPr>
        <w:t>DUK ,</w:t>
      </w:r>
      <w:proofErr w:type="gram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Cynthia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(2020). El Covid-19 y las Brechas Educativas Revista latinoamericana de educación inclusiva. </w:t>
      </w:r>
      <w:r w:rsidRPr="00342D4A">
        <w:rPr>
          <w:rFonts w:ascii="Arial" w:eastAsia="Times New Roman" w:hAnsi="Arial" w:cs="Arial"/>
          <w:szCs w:val="22"/>
          <w:lang w:val="en-US"/>
        </w:rPr>
        <w:t>10.4067/s0718-73782020000100011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NATIONAL INSTITUTES OF HEALTH U.S. (2007).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Understanding emerging and re-emerging infectious disease; Biological Sciences Curriculum Study.</w:t>
      </w:r>
      <w:proofErr w:type="gramEnd"/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>OLSHANSKY, Jay, CARNES, Bruc</w:t>
      </w:r>
      <w:r w:rsidR="00572CD5" w:rsidRPr="00342D4A">
        <w:rPr>
          <w:rFonts w:ascii="Arial" w:eastAsia="Times New Roman" w:hAnsi="Arial" w:cs="Arial"/>
          <w:szCs w:val="22"/>
          <w:lang w:val="en-US"/>
        </w:rPr>
        <w:t>e A. y CASSEL, Christine (1990).</w:t>
      </w:r>
      <w:r w:rsidRPr="00342D4A">
        <w:rPr>
          <w:rFonts w:ascii="Arial" w:eastAsia="Times New Roman" w:hAnsi="Arial" w:cs="Arial"/>
          <w:szCs w:val="22"/>
          <w:lang w:val="en-US"/>
        </w:rPr>
        <w:t xml:space="preserve"> “In search of Methuselah: Estimating the upper limits to human longevity”, en </w:t>
      </w:r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Science, </w:t>
      </w:r>
      <w:r w:rsidRPr="00342D4A">
        <w:rPr>
          <w:rFonts w:ascii="Arial" w:eastAsia="Times New Roman" w:hAnsi="Arial" w:cs="Arial"/>
          <w:szCs w:val="22"/>
          <w:lang w:val="en-US"/>
        </w:rPr>
        <w:t>250, Washington D.C., American Association for the Advancement of Science (</w:t>
      </w:r>
      <w:proofErr w:type="spellStart"/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aaas</w:t>
      </w:r>
      <w:proofErr w:type="spellEnd"/>
      <w:proofErr w:type="gramEnd"/>
      <w:r w:rsidRPr="00342D4A">
        <w:rPr>
          <w:rFonts w:ascii="Arial" w:eastAsia="Times New Roman" w:hAnsi="Arial" w:cs="Arial"/>
          <w:szCs w:val="22"/>
          <w:lang w:val="en-US"/>
        </w:rPr>
        <w:t>), pp. 634-640.</w:t>
      </w:r>
    </w:p>
    <w:p w:rsidR="00AB0155" w:rsidRPr="00342D4A" w:rsidRDefault="00AB0155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>OLSHANSKY, S.J., CARNES, B.A, ROGERS, R.G., SMITH, L. (1998)</w:t>
      </w:r>
      <w:r w:rsidR="00572CD5" w:rsidRPr="00342D4A">
        <w:rPr>
          <w:rFonts w:ascii="Arial" w:eastAsia="Times New Roman" w:hAnsi="Arial" w:cs="Arial"/>
          <w:szCs w:val="22"/>
          <w:lang w:val="en-US"/>
        </w:rPr>
        <w:t xml:space="preserve">. </w:t>
      </w:r>
      <w:r w:rsidRPr="00342D4A">
        <w:rPr>
          <w:rFonts w:ascii="Arial" w:eastAsia="Times New Roman" w:hAnsi="Arial" w:cs="Arial"/>
          <w:szCs w:val="22"/>
          <w:lang w:val="en-US"/>
        </w:rPr>
        <w:t>Emerging infectious diseases: the fifth stage of the epidemiologic transition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?.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World Health Stat Q 1998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;51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(2-4):207-217.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OMRAN, A.M. (1971). The epidemiologic transition: a theory of the epidemiology of population change. Milbank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Mem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Fund Q, 49:509-583.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PHILLIPS, D.R. (1994). Epidemiological transition: implications for health and health care provision. </w:t>
      </w:r>
      <w:proofErr w:type="spellStart"/>
      <w:r w:rsidRPr="00342D4A">
        <w:rPr>
          <w:rFonts w:ascii="Arial" w:eastAsia="Times New Roman" w:hAnsi="Arial" w:cs="Arial"/>
          <w:szCs w:val="22"/>
        </w:rPr>
        <w:t>Geografiska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Annaler</w:t>
      </w:r>
      <w:proofErr w:type="spellEnd"/>
      <w:r w:rsidRPr="00342D4A">
        <w:rPr>
          <w:rFonts w:ascii="Arial" w:eastAsia="Times New Roman" w:hAnsi="Arial" w:cs="Arial"/>
          <w:szCs w:val="22"/>
        </w:rPr>
        <w:t>, Series-B</w:t>
      </w:r>
      <w:proofErr w:type="gramStart"/>
      <w:r w:rsidRPr="00342D4A">
        <w:rPr>
          <w:rFonts w:ascii="Arial" w:eastAsia="Times New Roman" w:hAnsi="Arial" w:cs="Arial"/>
          <w:szCs w:val="22"/>
        </w:rPr>
        <w:t>;76B</w:t>
      </w:r>
      <w:proofErr w:type="gramEnd"/>
      <w:r w:rsidRPr="00342D4A">
        <w:rPr>
          <w:rFonts w:ascii="Arial" w:eastAsia="Times New Roman" w:hAnsi="Arial" w:cs="Arial"/>
          <w:szCs w:val="22"/>
        </w:rPr>
        <w:t>(2):71-89.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PRIETO, R. (2020). Más allá de las pandemias. </w:t>
      </w:r>
      <w:r w:rsidRPr="00342D4A">
        <w:rPr>
          <w:rFonts w:ascii="Arial" w:eastAsia="Times New Roman" w:hAnsi="Arial" w:cs="Arial"/>
          <w:i/>
          <w:szCs w:val="22"/>
        </w:rPr>
        <w:t xml:space="preserve">Rev. </w:t>
      </w:r>
      <w:proofErr w:type="spellStart"/>
      <w:proofErr w:type="gramStart"/>
      <w:r w:rsidRPr="00342D4A">
        <w:rPr>
          <w:rFonts w:ascii="Arial" w:eastAsia="Times New Roman" w:hAnsi="Arial" w:cs="Arial"/>
          <w:i/>
          <w:szCs w:val="22"/>
        </w:rPr>
        <w:t>colomb</w:t>
      </w:r>
      <w:proofErr w:type="spellEnd"/>
      <w:proofErr w:type="gramEnd"/>
      <w:r w:rsidRPr="00342D4A">
        <w:rPr>
          <w:rFonts w:ascii="Arial" w:eastAsia="Times New Roman" w:hAnsi="Arial" w:cs="Arial"/>
          <w:i/>
          <w:szCs w:val="22"/>
        </w:rPr>
        <w:t xml:space="preserve">. </w:t>
      </w:r>
      <w:proofErr w:type="spellStart"/>
      <w:proofErr w:type="gramStart"/>
      <w:r w:rsidRPr="00342D4A">
        <w:rPr>
          <w:rFonts w:ascii="Arial" w:eastAsia="Times New Roman" w:hAnsi="Arial" w:cs="Arial"/>
          <w:i/>
          <w:szCs w:val="22"/>
        </w:rPr>
        <w:t>cir</w:t>
      </w:r>
      <w:proofErr w:type="spellEnd"/>
      <w:proofErr w:type="gramEnd"/>
      <w:r w:rsidRPr="00342D4A">
        <w:rPr>
          <w:rFonts w:ascii="Arial" w:eastAsia="Times New Roman" w:hAnsi="Arial" w:cs="Arial"/>
          <w:szCs w:val="22"/>
        </w:rPr>
        <w:t>, 141-142.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>REGIDOR E, GUTIÉRREZ-FISAC JL, y RODRÍGUEZ C. (1994).  Diferencias y desigualdades en salud en España. Madrid: Díaz de Santos.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  <w:lang w:val="en-US"/>
        </w:rPr>
      </w:pPr>
      <w:r w:rsidRPr="00342D4A">
        <w:rPr>
          <w:rFonts w:ascii="Arial" w:hAnsi="Arial" w:cs="Arial"/>
          <w:szCs w:val="22"/>
        </w:rPr>
        <w:t xml:space="preserve">RIVERÓN CORTEGUERA, R.L. (2002). Enfermedades emergentes y </w:t>
      </w:r>
      <w:proofErr w:type="spellStart"/>
      <w:r w:rsidRPr="00342D4A">
        <w:rPr>
          <w:rFonts w:ascii="Arial" w:hAnsi="Arial" w:cs="Arial"/>
          <w:szCs w:val="22"/>
        </w:rPr>
        <w:t>ree-mergentes</w:t>
      </w:r>
      <w:proofErr w:type="spellEnd"/>
      <w:r w:rsidRPr="00342D4A">
        <w:rPr>
          <w:rFonts w:ascii="Arial" w:hAnsi="Arial" w:cs="Arial"/>
          <w:szCs w:val="22"/>
        </w:rPr>
        <w:t xml:space="preserve">: un reto del siglo XXI. </w:t>
      </w:r>
      <w:r w:rsidRPr="00342D4A">
        <w:rPr>
          <w:rFonts w:ascii="Arial" w:hAnsi="Arial" w:cs="Arial"/>
          <w:szCs w:val="22"/>
          <w:lang w:val="en-US"/>
        </w:rPr>
        <w:t xml:space="preserve">Rev. </w:t>
      </w:r>
      <w:proofErr w:type="spellStart"/>
      <w:r w:rsidRPr="00342D4A">
        <w:rPr>
          <w:rFonts w:ascii="Arial" w:hAnsi="Arial" w:cs="Arial"/>
          <w:szCs w:val="22"/>
          <w:lang w:val="en-US"/>
        </w:rPr>
        <w:t>Cubana</w:t>
      </w:r>
      <w:proofErr w:type="spellEnd"/>
      <w:r w:rsidRPr="00342D4A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342D4A">
        <w:rPr>
          <w:rFonts w:ascii="Arial" w:hAnsi="Arial" w:cs="Arial"/>
          <w:szCs w:val="22"/>
          <w:lang w:val="en-US"/>
        </w:rPr>
        <w:t>Pediatr</w:t>
      </w:r>
      <w:proofErr w:type="spellEnd"/>
      <w:r w:rsidRPr="00342D4A">
        <w:rPr>
          <w:rFonts w:ascii="Arial" w:hAnsi="Arial" w:cs="Arial"/>
          <w:szCs w:val="22"/>
          <w:lang w:val="en-US"/>
        </w:rPr>
        <w:t xml:space="preserve"> 2002; 74(1):7-22.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ROBINE, J. M., MATHERS, C. D., JAGGER, C., y JAGGER, C. (2003).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 </w:t>
      </w:r>
      <w:proofErr w:type="gramStart"/>
      <w:r w:rsidRPr="00342D4A">
        <w:rPr>
          <w:rFonts w:ascii="Arial" w:eastAsia="Times New Roman" w:hAnsi="Arial" w:cs="Arial"/>
          <w:i/>
          <w:szCs w:val="22"/>
          <w:lang w:val="en-US"/>
        </w:rPr>
        <w:t>Determining health expectancies</w:t>
      </w:r>
      <w:r w:rsidRPr="00342D4A">
        <w:rPr>
          <w:rFonts w:ascii="Arial" w:eastAsia="Times New Roman" w:hAnsi="Arial" w:cs="Arial"/>
          <w:szCs w:val="22"/>
          <w:lang w:val="en-US"/>
        </w:rPr>
        <w:t> (pp. 75-104).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J. Wiley.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ROBLES GONZÁLEZ, E, GARCÍA BENAVIDES, F, y  BERNABEU MESTRE, J. (1996). La transición sanitaria en España desde 1900 a 1990. </w:t>
      </w:r>
      <w:proofErr w:type="spellStart"/>
      <w:r w:rsidRPr="00342D4A">
        <w:rPr>
          <w:rFonts w:ascii="Arial" w:eastAsia="Times New Roman" w:hAnsi="Arial" w:cs="Arial"/>
          <w:szCs w:val="22"/>
        </w:rPr>
        <w:t>Rev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Esp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Salud Pública; 70 (2):221-233.   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 xml:space="preserve">SCHOLZ, Rembrandt y MAIER,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Heiner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(2003).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 xml:space="preserve">“German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Unifcation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and the Plasticity of Mortality at Older Ages”.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gramStart"/>
      <w:r w:rsidRPr="00342D4A">
        <w:rPr>
          <w:rFonts w:ascii="Arial" w:eastAsia="Times New Roman" w:hAnsi="Arial" w:cs="Arial"/>
          <w:i/>
          <w:szCs w:val="22"/>
          <w:lang w:val="en-US"/>
        </w:rPr>
        <w:t>Max-Planck-Institute for Demographic Research Working Paper</w:t>
      </w:r>
      <w:r w:rsidRPr="00342D4A">
        <w:rPr>
          <w:rFonts w:ascii="Arial" w:eastAsia="Times New Roman" w:hAnsi="Arial" w:cs="Arial"/>
          <w:szCs w:val="22"/>
          <w:lang w:val="en-US"/>
        </w:rPr>
        <w:t>, 31.</w:t>
      </w:r>
      <w:proofErr w:type="gramEnd"/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SEPÚLVEDA J, GÓMEZ OH. </w:t>
      </w:r>
      <w:r w:rsidRPr="00342D4A">
        <w:rPr>
          <w:rFonts w:ascii="Arial" w:eastAsia="Times New Roman" w:hAnsi="Arial" w:cs="Arial"/>
          <w:szCs w:val="22"/>
        </w:rPr>
        <w:t xml:space="preserve">(1997). Origen, rumbo y destino de la transición en salud en México y América </w:t>
      </w:r>
      <w:proofErr w:type="gramStart"/>
      <w:r w:rsidRPr="00342D4A">
        <w:rPr>
          <w:rFonts w:ascii="Arial" w:eastAsia="Times New Roman" w:hAnsi="Arial" w:cs="Arial"/>
          <w:szCs w:val="22"/>
        </w:rPr>
        <w:t>Latina .</w:t>
      </w:r>
      <w:proofErr w:type="gramEnd"/>
      <w:r w:rsidRPr="00342D4A">
        <w:rPr>
          <w:rFonts w:ascii="Arial" w:eastAsia="Times New Roman" w:hAnsi="Arial" w:cs="Arial"/>
          <w:szCs w:val="22"/>
        </w:rPr>
        <w:t xml:space="preserve">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hAnsi="Arial" w:cs="Arial"/>
          <w:szCs w:val="22"/>
          <w:shd w:val="clear" w:color="auto" w:fill="FFFFFF"/>
        </w:rPr>
      </w:pPr>
      <w:r w:rsidRPr="00342D4A">
        <w:rPr>
          <w:rFonts w:ascii="Arial" w:hAnsi="Arial" w:cs="Arial"/>
          <w:szCs w:val="22"/>
          <w:shd w:val="clear" w:color="auto" w:fill="FFFFFF"/>
        </w:rPr>
        <w:t>SEQUERA, G. (2019). La transición epidemiológica y la doble carga de enfermedad. </w:t>
      </w:r>
      <w:r w:rsidRPr="00342D4A">
        <w:rPr>
          <w:rFonts w:ascii="Arial" w:hAnsi="Arial" w:cs="Arial"/>
          <w:i/>
          <w:iCs/>
          <w:szCs w:val="22"/>
          <w:shd w:val="clear" w:color="auto" w:fill="FFFFFF"/>
        </w:rPr>
        <w:t xml:space="preserve">Revista de salud </w:t>
      </w:r>
      <w:r w:rsidR="00690225" w:rsidRPr="00342D4A">
        <w:rPr>
          <w:rFonts w:ascii="Arial" w:hAnsi="Arial" w:cs="Arial"/>
          <w:i/>
          <w:iCs/>
          <w:szCs w:val="22"/>
          <w:shd w:val="clear" w:color="auto" w:fill="FFFFFF"/>
        </w:rPr>
        <w:t>pública</w:t>
      </w:r>
      <w:r w:rsidRPr="00342D4A">
        <w:rPr>
          <w:rFonts w:ascii="Arial" w:hAnsi="Arial" w:cs="Arial"/>
          <w:i/>
          <w:iCs/>
          <w:szCs w:val="22"/>
          <w:shd w:val="clear" w:color="auto" w:fill="FFFFFF"/>
        </w:rPr>
        <w:t xml:space="preserve"> del Paraguay</w:t>
      </w:r>
      <w:r w:rsidRPr="00342D4A">
        <w:rPr>
          <w:rFonts w:ascii="Arial" w:hAnsi="Arial" w:cs="Arial"/>
          <w:szCs w:val="22"/>
          <w:shd w:val="clear" w:color="auto" w:fill="FFFFFF"/>
        </w:rPr>
        <w:t>, </w:t>
      </w:r>
      <w:r w:rsidRPr="00342D4A">
        <w:rPr>
          <w:rFonts w:ascii="Arial" w:hAnsi="Arial" w:cs="Arial"/>
          <w:i/>
          <w:iCs/>
          <w:szCs w:val="22"/>
          <w:shd w:val="clear" w:color="auto" w:fill="FFFFFF"/>
        </w:rPr>
        <w:t>8</w:t>
      </w:r>
      <w:r w:rsidRPr="00342D4A">
        <w:rPr>
          <w:rFonts w:ascii="Arial" w:hAnsi="Arial" w:cs="Arial"/>
          <w:szCs w:val="22"/>
          <w:shd w:val="clear" w:color="auto" w:fill="FFFFFF"/>
        </w:rPr>
        <w:t>(2), 7-8.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</w:rPr>
        <w:t xml:space="preserve">SMALLMAN-RAYNOR, M. y PHILLIPS, D. (1999). </w:t>
      </w:r>
      <w:r w:rsidRPr="00342D4A">
        <w:rPr>
          <w:rFonts w:ascii="Arial" w:eastAsia="Times New Roman" w:hAnsi="Arial" w:cs="Arial"/>
          <w:szCs w:val="22"/>
          <w:lang w:val="en-US"/>
        </w:rPr>
        <w:t>Late stages of epidemiological transition: Health status in the developed world. Health Place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;5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(3):209-222.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>SMITH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,  K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. y  EZZATI,  M. (2005). How environmental health risks change with development: the epidemiologic and environmental risk transitions revisited.  </w:t>
      </w:r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Annual Review of Environment and </w:t>
      </w:r>
      <w:proofErr w:type="gramStart"/>
      <w:r w:rsidRPr="00342D4A">
        <w:rPr>
          <w:rFonts w:ascii="Arial" w:eastAsia="Times New Roman" w:hAnsi="Arial" w:cs="Arial"/>
          <w:i/>
          <w:szCs w:val="22"/>
          <w:lang w:val="en-US"/>
        </w:rPr>
        <w:t>Resources  30:1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>, 291-333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SMITH, K. R. (1997).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Development, health, and the environmental risk</w:t>
      </w:r>
      <w:r w:rsidRPr="00342D4A">
        <w:rPr>
          <w:rFonts w:ascii="Arial" w:eastAsia="Times New Roman" w:hAnsi="Arial" w:cs="Arial"/>
          <w:szCs w:val="22"/>
          <w:lang w:val="en-US"/>
        </w:rPr>
        <w:br/>
        <w:t>transition.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En O. S.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Shahi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, B. S. Levy, A. Binger, T.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Kjellström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y R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br/>
      </w:r>
      <w:r w:rsidRPr="00342D4A">
        <w:rPr>
          <w:rFonts w:ascii="Arial" w:eastAsia="Times New Roman" w:hAnsi="Arial" w:cs="Arial"/>
          <w:szCs w:val="22"/>
          <w:lang w:val="en-US"/>
        </w:rPr>
        <w:lastRenderedPageBreak/>
        <w:t xml:space="preserve">Lawrence. (Eds.), </w:t>
      </w:r>
      <w:r w:rsidRPr="00342D4A">
        <w:rPr>
          <w:rFonts w:ascii="Arial" w:eastAsia="Times New Roman" w:hAnsi="Arial" w:cs="Arial"/>
          <w:i/>
          <w:szCs w:val="22"/>
          <w:lang w:val="en-US"/>
        </w:rPr>
        <w:t>International perspectives on environment</w:t>
      </w:r>
      <w:proofErr w:type="gramStart"/>
      <w:r w:rsidRPr="00342D4A">
        <w:rPr>
          <w:rFonts w:ascii="Arial" w:eastAsia="Times New Roman" w:hAnsi="Arial" w:cs="Arial"/>
          <w:i/>
          <w:szCs w:val="22"/>
          <w:lang w:val="en-US"/>
        </w:rPr>
        <w:t>,</w:t>
      </w:r>
      <w:proofErr w:type="gramEnd"/>
      <w:r w:rsidRPr="00342D4A">
        <w:rPr>
          <w:rFonts w:ascii="Arial" w:eastAsia="Times New Roman" w:hAnsi="Arial" w:cs="Arial"/>
          <w:i/>
          <w:szCs w:val="22"/>
          <w:lang w:val="en-US"/>
        </w:rPr>
        <w:br/>
        <w:t xml:space="preserve">development, and health: Towards a sustainable world </w:t>
      </w:r>
      <w:r w:rsidRPr="00342D4A">
        <w:rPr>
          <w:rFonts w:ascii="Arial" w:eastAsia="Times New Roman" w:hAnsi="Arial" w:cs="Arial"/>
          <w:szCs w:val="22"/>
          <w:lang w:val="en-US"/>
        </w:rPr>
        <w:t>(pp. 51-</w:t>
      </w:r>
      <w:r w:rsidRPr="00342D4A">
        <w:rPr>
          <w:rFonts w:ascii="Arial" w:eastAsia="Times New Roman" w:hAnsi="Arial" w:cs="Arial"/>
          <w:szCs w:val="22"/>
          <w:lang w:val="en-US"/>
        </w:rPr>
        <w:br/>
        <w:t>62). Nueva York: Springer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SMITH, K.R. (1990). 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The risk transition.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International Environmental Affairs, 2:227-251.</w:t>
      </w:r>
    </w:p>
    <w:p w:rsidR="00AB0155" w:rsidRPr="00342D4A" w:rsidRDefault="00AB0155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i/>
          <w:szCs w:val="22"/>
        </w:rPr>
      </w:pPr>
      <w:r w:rsidRPr="00342D4A">
        <w:rPr>
          <w:rFonts w:ascii="Arial" w:eastAsia="Times New Roman" w:hAnsi="Arial" w:cs="Arial"/>
          <w:szCs w:val="22"/>
        </w:rPr>
        <w:t xml:space="preserve">STEVENSON, R. L. (2014). Envejecimiento: un triunfo agridulce. </w:t>
      </w:r>
      <w:proofErr w:type="spellStart"/>
      <w:r w:rsidRPr="00342D4A">
        <w:rPr>
          <w:rFonts w:ascii="Arial" w:eastAsia="Times New Roman" w:hAnsi="Arial" w:cs="Arial"/>
          <w:i/>
          <w:szCs w:val="22"/>
        </w:rPr>
        <w:t>Dendra</w:t>
      </w:r>
      <w:proofErr w:type="spellEnd"/>
      <w:r w:rsidRPr="00342D4A">
        <w:rPr>
          <w:rFonts w:ascii="Arial" w:eastAsia="Times New Roman" w:hAnsi="Arial" w:cs="Arial"/>
          <w:i/>
          <w:szCs w:val="22"/>
        </w:rPr>
        <w:t xml:space="preserve"> Médica. Revista de Humanidades 2014</w:t>
      </w:r>
      <w:proofErr w:type="gramStart"/>
      <w:r w:rsidRPr="00342D4A">
        <w:rPr>
          <w:rFonts w:ascii="Arial" w:eastAsia="Times New Roman" w:hAnsi="Arial" w:cs="Arial"/>
          <w:i/>
          <w:szCs w:val="22"/>
        </w:rPr>
        <w:t>;13</w:t>
      </w:r>
      <w:proofErr w:type="gramEnd"/>
      <w:r w:rsidRPr="00342D4A">
        <w:rPr>
          <w:rFonts w:ascii="Arial" w:eastAsia="Times New Roman" w:hAnsi="Arial" w:cs="Arial"/>
          <w:i/>
          <w:szCs w:val="22"/>
        </w:rPr>
        <w:t>(1):5-20</w:t>
      </w:r>
      <w:r w:rsidR="003B5A7A" w:rsidRPr="00342D4A">
        <w:rPr>
          <w:rFonts w:ascii="Arial" w:eastAsia="Times New Roman" w:hAnsi="Arial" w:cs="Arial"/>
          <w:i/>
          <w:szCs w:val="22"/>
        </w:rPr>
        <w:t>.</w:t>
      </w:r>
    </w:p>
    <w:p w:rsidR="003B5A7A" w:rsidRPr="00342D4A" w:rsidRDefault="003B5A7A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hAnsi="Arial" w:cs="Arial"/>
          <w:szCs w:val="22"/>
          <w:shd w:val="clear" w:color="auto" w:fill="FFFFFF"/>
        </w:rPr>
        <w:t xml:space="preserve">VALLIN, J., y MESLÉ, F. (2004). </w:t>
      </w:r>
      <w:r w:rsidRPr="00342D4A">
        <w:rPr>
          <w:rFonts w:ascii="Arial" w:hAnsi="Arial" w:cs="Arial"/>
          <w:szCs w:val="22"/>
          <w:shd w:val="clear" w:color="auto" w:fill="FFFFFF"/>
          <w:lang w:val="en-US"/>
        </w:rPr>
        <w:t>Convergences and divergences in mortality: a new approach of health transition. </w:t>
      </w:r>
      <w:r w:rsidRPr="00342D4A">
        <w:rPr>
          <w:rFonts w:ascii="Arial" w:hAnsi="Arial" w:cs="Arial"/>
          <w:i/>
          <w:iCs/>
          <w:szCs w:val="22"/>
          <w:shd w:val="clear" w:color="auto" w:fill="FFFFFF"/>
          <w:lang w:val="en-US"/>
        </w:rPr>
        <w:t>Demographic research</w:t>
      </w:r>
      <w:r w:rsidRPr="00342D4A">
        <w:rPr>
          <w:rFonts w:ascii="Arial" w:hAnsi="Arial" w:cs="Arial"/>
          <w:szCs w:val="22"/>
          <w:shd w:val="clear" w:color="auto" w:fill="FFFFFF"/>
          <w:lang w:val="en-US"/>
        </w:rPr>
        <w:t>, </w:t>
      </w:r>
      <w:r w:rsidRPr="00342D4A">
        <w:rPr>
          <w:rFonts w:ascii="Arial" w:hAnsi="Arial" w:cs="Arial"/>
          <w:i/>
          <w:iCs/>
          <w:szCs w:val="22"/>
          <w:shd w:val="clear" w:color="auto" w:fill="FFFFFF"/>
          <w:lang w:val="en-US"/>
        </w:rPr>
        <w:t>2</w:t>
      </w:r>
      <w:r w:rsidRPr="00342D4A">
        <w:rPr>
          <w:rFonts w:ascii="Arial" w:hAnsi="Arial" w:cs="Arial"/>
          <w:szCs w:val="22"/>
          <w:shd w:val="clear" w:color="auto" w:fill="FFFFFF"/>
          <w:lang w:val="en-US"/>
        </w:rPr>
        <w:t>, 11-44.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VAUPEL, J.W. (2010). </w:t>
      </w:r>
      <w:proofErr w:type="spellStart"/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Biodemography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of human ageing.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 Nature; 464:536–542.</w:t>
      </w:r>
    </w:p>
    <w:p w:rsidR="00AB0155" w:rsidRPr="00342D4A" w:rsidRDefault="00AB0155" w:rsidP="00342D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szCs w:val="22"/>
          <w:lang w:val="en-US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VAUPEL, James W. y KISTOWSKI, Kristin G.V. (2007). “Die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Plastizitätmenschlicher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Lebenserwartungundihre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Komsequenzen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 xml:space="preserve">”. In: </w:t>
      </w:r>
      <w:proofErr w:type="spellStart"/>
      <w:r w:rsidRPr="00342D4A">
        <w:rPr>
          <w:rFonts w:ascii="Arial" w:eastAsia="Times New Roman" w:hAnsi="Arial" w:cs="Arial"/>
          <w:szCs w:val="22"/>
          <w:lang w:val="en-US"/>
        </w:rPr>
        <w:t>Gruss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>, P. (</w:t>
      </w:r>
      <w:proofErr w:type="gramStart"/>
      <w:r w:rsidRPr="00342D4A">
        <w:rPr>
          <w:rFonts w:ascii="Arial" w:eastAsia="Times New Roman" w:hAnsi="Arial" w:cs="Arial"/>
          <w:szCs w:val="22"/>
          <w:lang w:val="en-US"/>
        </w:rPr>
        <w:t>ed</w:t>
      </w:r>
      <w:proofErr w:type="gramEnd"/>
      <w:r w:rsidRPr="00342D4A">
        <w:rPr>
          <w:rFonts w:ascii="Arial" w:eastAsia="Times New Roman" w:hAnsi="Arial" w:cs="Arial"/>
          <w:szCs w:val="22"/>
          <w:lang w:val="en-US"/>
        </w:rPr>
        <w:t xml:space="preserve">.). </w:t>
      </w:r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Die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Zukunft</w:t>
      </w:r>
      <w:proofErr w:type="spellEnd"/>
      <w:r w:rsidRPr="00342D4A">
        <w:rPr>
          <w:rFonts w:ascii="Arial" w:eastAsia="Times New Roman" w:hAnsi="Arial" w:cs="Arial"/>
          <w:i/>
          <w:szCs w:val="22"/>
          <w:lang w:val="en-US"/>
        </w:rPr>
        <w:t xml:space="preserve"> des </w:t>
      </w:r>
      <w:proofErr w:type="spellStart"/>
      <w:r w:rsidRPr="00342D4A">
        <w:rPr>
          <w:rFonts w:ascii="Arial" w:eastAsia="Times New Roman" w:hAnsi="Arial" w:cs="Arial"/>
          <w:i/>
          <w:szCs w:val="22"/>
          <w:lang w:val="en-US"/>
        </w:rPr>
        <w:t>Alterns</w:t>
      </w:r>
      <w:proofErr w:type="spellEnd"/>
      <w:r w:rsidRPr="00342D4A">
        <w:rPr>
          <w:rFonts w:ascii="Arial" w:eastAsia="Times New Roman" w:hAnsi="Arial" w:cs="Arial"/>
          <w:szCs w:val="22"/>
          <w:lang w:val="en-US"/>
        </w:rPr>
        <w:t>. Munich: Beck.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  <w:r w:rsidRPr="00342D4A">
        <w:rPr>
          <w:rFonts w:ascii="Arial" w:eastAsia="Times New Roman" w:hAnsi="Arial" w:cs="Arial"/>
          <w:szCs w:val="22"/>
          <w:lang w:val="en-US"/>
        </w:rPr>
        <w:t xml:space="preserve">WERNECK, G. L., y CARVALHO, M. S. (2020). </w:t>
      </w:r>
      <w:r w:rsidRPr="00342D4A">
        <w:rPr>
          <w:rFonts w:ascii="Arial" w:eastAsia="Times New Roman" w:hAnsi="Arial" w:cs="Arial"/>
          <w:szCs w:val="22"/>
        </w:rPr>
        <w:t xml:space="preserve">A pandemia de COVID-19 no Brasil: </w:t>
      </w:r>
      <w:proofErr w:type="spellStart"/>
      <w:r w:rsidRPr="00342D4A">
        <w:rPr>
          <w:rFonts w:ascii="Arial" w:eastAsia="Times New Roman" w:hAnsi="Arial" w:cs="Arial"/>
          <w:szCs w:val="22"/>
        </w:rPr>
        <w:t>crônica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de </w:t>
      </w:r>
      <w:proofErr w:type="spellStart"/>
      <w:r w:rsidRPr="00342D4A">
        <w:rPr>
          <w:rFonts w:ascii="Arial" w:eastAsia="Times New Roman" w:hAnsi="Arial" w:cs="Arial"/>
          <w:szCs w:val="22"/>
        </w:rPr>
        <w:t>uma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crise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342D4A">
        <w:rPr>
          <w:rFonts w:ascii="Arial" w:eastAsia="Times New Roman" w:hAnsi="Arial" w:cs="Arial"/>
          <w:szCs w:val="22"/>
        </w:rPr>
        <w:t>sanitária</w:t>
      </w:r>
      <w:proofErr w:type="spellEnd"/>
      <w:r w:rsidRPr="00342D4A">
        <w:rPr>
          <w:rFonts w:ascii="Arial" w:eastAsia="Times New Roman" w:hAnsi="Arial" w:cs="Arial"/>
          <w:szCs w:val="22"/>
        </w:rPr>
        <w:t xml:space="preserve"> anunciada. </w:t>
      </w:r>
    </w:p>
    <w:p w:rsidR="00AB0155" w:rsidRPr="00342D4A" w:rsidRDefault="00AB0155" w:rsidP="00342D4A">
      <w:pPr>
        <w:spacing w:after="120" w:line="240" w:lineRule="auto"/>
        <w:jc w:val="both"/>
        <w:rPr>
          <w:rFonts w:ascii="Arial" w:eastAsia="Times New Roman" w:hAnsi="Arial" w:cs="Arial"/>
          <w:szCs w:val="22"/>
        </w:rPr>
      </w:pPr>
    </w:p>
    <w:sectPr w:rsidR="00AB0155" w:rsidRPr="00342D4A" w:rsidSect="00C82BE2"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DE" w:rsidRDefault="00E70EDE">
      <w:pPr>
        <w:spacing w:after="0" w:line="240" w:lineRule="auto"/>
      </w:pPr>
      <w:r>
        <w:separator/>
      </w:r>
    </w:p>
  </w:endnote>
  <w:endnote w:type="continuationSeparator" w:id="0">
    <w:p w:rsidR="00E70EDE" w:rsidRDefault="00E7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LTSt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1C" w:rsidRDefault="00433F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D6ECF">
      <w:rPr>
        <w:color w:val="000000"/>
      </w:rPr>
      <w:instrText>PAGE</w:instrText>
    </w:r>
    <w:r>
      <w:rPr>
        <w:color w:val="000000"/>
      </w:rPr>
      <w:fldChar w:fldCharType="separate"/>
    </w:r>
    <w:r w:rsidR="00342D4A">
      <w:rPr>
        <w:noProof/>
        <w:color w:val="000000"/>
      </w:rPr>
      <w:t>1</w:t>
    </w:r>
    <w:r>
      <w:rPr>
        <w:color w:val="000000"/>
      </w:rPr>
      <w:fldChar w:fldCharType="end"/>
    </w:r>
  </w:p>
  <w:p w:rsidR="00CF6B1C" w:rsidRDefault="00CF6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DE" w:rsidRDefault="00E70EDE">
      <w:pPr>
        <w:spacing w:after="0" w:line="240" w:lineRule="auto"/>
      </w:pPr>
      <w:r>
        <w:separator/>
      </w:r>
    </w:p>
  </w:footnote>
  <w:footnote w:type="continuationSeparator" w:id="0">
    <w:p w:rsidR="00E70EDE" w:rsidRDefault="00E70EDE">
      <w:pPr>
        <w:spacing w:after="0" w:line="240" w:lineRule="auto"/>
      </w:pPr>
      <w:r>
        <w:continuationSeparator/>
      </w:r>
    </w:p>
  </w:footnote>
  <w:footnote w:id="1">
    <w:p w:rsidR="00CF6B1C" w:rsidRPr="00973F76" w:rsidRDefault="000D6ECF" w:rsidP="00C30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973F76">
        <w:rPr>
          <w:rFonts w:ascii="Times New Roman" w:hAnsi="Times New Roman"/>
          <w:sz w:val="20"/>
          <w:vertAlign w:val="superscript"/>
        </w:rPr>
        <w:footnoteRef/>
      </w:r>
      <w:r w:rsidRPr="00973F76">
        <w:rPr>
          <w:rFonts w:ascii="Times New Roman" w:eastAsia="Times New Roman" w:hAnsi="Times New Roman"/>
          <w:sz w:val="20"/>
        </w:rPr>
        <w:t xml:space="preserve"> </w:t>
      </w:r>
      <w:r w:rsidRPr="00973F76">
        <w:rPr>
          <w:rFonts w:ascii="Times New Roman" w:eastAsia="Times New Roman" w:hAnsi="Times New Roman"/>
          <w:color w:val="000000"/>
          <w:sz w:val="20"/>
        </w:rPr>
        <w:t>En este contexto, algunos estudios han señalado límites rígidos en la reducción de la mortalidad en edades muy avanzadas (</w:t>
      </w:r>
      <w:r w:rsidRPr="00973F76">
        <w:rPr>
          <w:rFonts w:ascii="Times New Roman" w:eastAsia="Times New Roman" w:hAnsi="Times New Roman"/>
          <w:color w:val="000000"/>
          <w:sz w:val="20"/>
          <w:highlight w:val="white"/>
        </w:rPr>
        <w:t>González, 2014)</w:t>
      </w:r>
      <w:r w:rsidRPr="00973F76">
        <w:rPr>
          <w:rFonts w:ascii="Times New Roman" w:eastAsia="Times New Roman" w:hAnsi="Times New Roman"/>
          <w:color w:val="000000"/>
          <w:sz w:val="20"/>
        </w:rPr>
        <w:t xml:space="preserve">, mientras que </w:t>
      </w:r>
      <w:r w:rsidRPr="00973F76">
        <w:rPr>
          <w:rFonts w:ascii="Times New Roman" w:eastAsia="Times New Roman" w:hAnsi="Times New Roman"/>
          <w:color w:val="000000"/>
          <w:sz w:val="20"/>
          <w:highlight w:val="white"/>
        </w:rPr>
        <w:t xml:space="preserve">otras investigaciones </w:t>
      </w:r>
      <w:r w:rsidRPr="00973F76">
        <w:rPr>
          <w:rFonts w:ascii="Times New Roman" w:eastAsia="Times New Roman" w:hAnsi="Times New Roman"/>
          <w:sz w:val="20"/>
          <w:highlight w:val="white"/>
        </w:rPr>
        <w:t>destacan</w:t>
      </w:r>
      <w:r w:rsidRPr="00973F76">
        <w:rPr>
          <w:rFonts w:ascii="Times New Roman" w:eastAsia="Times New Roman" w:hAnsi="Times New Roman"/>
          <w:color w:val="000000"/>
          <w:sz w:val="20"/>
          <w:highlight w:val="white"/>
        </w:rPr>
        <w:t xml:space="preserve"> </w:t>
      </w:r>
      <w:r w:rsidR="00E05A46">
        <w:rPr>
          <w:rFonts w:ascii="Times New Roman" w:eastAsia="Times New Roman" w:hAnsi="Times New Roman"/>
          <w:color w:val="000000"/>
          <w:sz w:val="20"/>
        </w:rPr>
        <w:t>su</w:t>
      </w:r>
      <w:r w:rsidRPr="00973F76">
        <w:rPr>
          <w:rFonts w:ascii="Times New Roman" w:eastAsia="Times New Roman" w:hAnsi="Times New Roman"/>
          <w:color w:val="000000"/>
          <w:sz w:val="20"/>
        </w:rPr>
        <w:t xml:space="preserve"> plasticidad (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Robine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, et al. 2003; 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Scholz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 y 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Maier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, 2003; 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Vaupel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 y 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Kistowski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, 2007; 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Vaupel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, 2010). Francia </w:t>
      </w:r>
      <w:r w:rsidRPr="00973F76">
        <w:rPr>
          <w:rFonts w:ascii="Times New Roman" w:eastAsia="Times New Roman" w:hAnsi="Times New Roman"/>
          <w:sz w:val="20"/>
        </w:rPr>
        <w:t>demoró</w:t>
      </w:r>
      <w:r w:rsidRPr="00973F76">
        <w:rPr>
          <w:rFonts w:ascii="Times New Roman" w:eastAsia="Times New Roman" w:hAnsi="Times New Roman"/>
          <w:color w:val="000000"/>
          <w:sz w:val="20"/>
        </w:rPr>
        <w:t xml:space="preserve"> casi 150 años para aumentar del 10% al 20% la proporción de la población mayor de 60 años, mientras que países como Brasil, China e India –previo a la situación de la pandemia del COVID-19– se estimaba que se producirá en poco más de 20 años (CEPAL, 2020).</w:t>
      </w:r>
    </w:p>
  </w:footnote>
  <w:footnote w:id="2">
    <w:p w:rsidR="00CF6B1C" w:rsidRPr="00973F76" w:rsidRDefault="000D6ECF" w:rsidP="00C30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973F76">
        <w:rPr>
          <w:rFonts w:ascii="Times New Roman" w:hAnsi="Times New Roman"/>
          <w:sz w:val="20"/>
          <w:vertAlign w:val="superscript"/>
        </w:rPr>
        <w:footnoteRef/>
      </w:r>
      <w:r w:rsidRPr="00973F76">
        <w:rPr>
          <w:rFonts w:ascii="Times New Roman" w:eastAsia="Times New Roman" w:hAnsi="Times New Roman"/>
          <w:color w:val="000000"/>
          <w:sz w:val="20"/>
        </w:rPr>
        <w:t xml:space="preserve"> Se supone </w:t>
      </w:r>
      <w:r w:rsidRPr="00973F76">
        <w:rPr>
          <w:rFonts w:ascii="Times New Roman" w:eastAsia="Times New Roman" w:hAnsi="Times New Roman"/>
          <w:color w:val="000000"/>
          <w:sz w:val="20"/>
          <w:highlight w:val="white"/>
        </w:rPr>
        <w:t xml:space="preserve">que reducir la mortalidad adulta requiere mayores esfuerzos que la mortalidad infantil, debido a que los primeros enfrentan enfermedades endógenas más difíciles de controlar </w:t>
      </w:r>
      <w:r w:rsidRPr="00973F76">
        <w:rPr>
          <w:rFonts w:ascii="Times New Roman" w:eastAsia="Times New Roman" w:hAnsi="Times New Roman"/>
          <w:color w:val="000000"/>
          <w:sz w:val="20"/>
        </w:rPr>
        <w:t>(</w:t>
      </w:r>
      <w:proofErr w:type="spellStart"/>
      <w:r w:rsidRPr="00973F76">
        <w:rPr>
          <w:rFonts w:ascii="Times New Roman" w:eastAsia="Times New Roman" w:hAnsi="Times New Roman"/>
          <w:color w:val="000000"/>
          <w:sz w:val="20"/>
        </w:rPr>
        <w:t>Olshansky</w:t>
      </w:r>
      <w:proofErr w:type="spellEnd"/>
      <w:r w:rsidRPr="00973F76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973F76">
        <w:rPr>
          <w:rFonts w:ascii="Times New Roman" w:eastAsia="Times New Roman" w:hAnsi="Times New Roman"/>
          <w:i/>
          <w:color w:val="000000"/>
          <w:sz w:val="20"/>
        </w:rPr>
        <w:t>et al.</w:t>
      </w:r>
      <w:r w:rsidRPr="00973F76">
        <w:rPr>
          <w:rFonts w:ascii="Times New Roman" w:eastAsia="Times New Roman" w:hAnsi="Times New Roman"/>
          <w:color w:val="000000"/>
          <w:sz w:val="20"/>
        </w:rPr>
        <w:t>, 1990), y en las muertes infantiles predominan l</w:t>
      </w:r>
      <w:r w:rsidRPr="00973F76">
        <w:rPr>
          <w:rFonts w:ascii="Times New Roman" w:eastAsia="Times New Roman" w:hAnsi="Times New Roman"/>
          <w:color w:val="000000"/>
          <w:sz w:val="20"/>
          <w:highlight w:val="white"/>
        </w:rPr>
        <w:t>as infecciosas (Naciones Unidas, 2017).</w:t>
      </w:r>
    </w:p>
  </w:footnote>
  <w:footnote w:id="3">
    <w:p w:rsidR="00E05A46" w:rsidRPr="00ED7E15" w:rsidRDefault="00E05A46" w:rsidP="00C30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ED7E15">
        <w:rPr>
          <w:rFonts w:ascii="Times New Roman" w:hAnsi="Times New Roman"/>
          <w:sz w:val="20"/>
          <w:vertAlign w:val="superscript"/>
        </w:rPr>
        <w:footnoteRef/>
      </w:r>
      <w:r w:rsidRPr="00ED7E15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ED7E15">
        <w:rPr>
          <w:rFonts w:ascii="Times New Roman" w:eastAsia="Times" w:hAnsi="Times New Roman"/>
          <w:color w:val="000000"/>
          <w:sz w:val="20"/>
        </w:rPr>
        <w:t xml:space="preserve">En 1969 </w:t>
      </w:r>
      <w:proofErr w:type="spellStart"/>
      <w:r w:rsidRPr="00ED7E15">
        <w:rPr>
          <w:rFonts w:ascii="Times New Roman" w:eastAsia="Times" w:hAnsi="Times New Roman"/>
          <w:color w:val="000000"/>
          <w:sz w:val="20"/>
        </w:rPr>
        <w:t>Frederiksen</w:t>
      </w:r>
      <w:proofErr w:type="spellEnd"/>
      <w:r w:rsidRPr="00ED7E15">
        <w:rPr>
          <w:rFonts w:ascii="Times New Roman" w:eastAsia="Times" w:hAnsi="Times New Roman"/>
          <w:color w:val="000000"/>
          <w:sz w:val="20"/>
        </w:rPr>
        <w:t xml:space="preserve"> propuso que los patrones de mortalidad, morbilidad, fertilidad y la organización de los servicios de salud, ocurrían en estrecha relación con procesos</w:t>
      </w:r>
      <w:r w:rsidRPr="00ED7E15">
        <w:rPr>
          <w:rFonts w:ascii="Times New Roman" w:eastAsia="Times" w:hAnsi="Times New Roman"/>
          <w:sz w:val="20"/>
        </w:rPr>
        <w:t xml:space="preserve"> </w:t>
      </w:r>
      <w:r w:rsidRPr="00ED7E15">
        <w:rPr>
          <w:rFonts w:ascii="Times New Roman" w:eastAsia="Times" w:hAnsi="Times New Roman"/>
          <w:color w:val="000000"/>
          <w:sz w:val="20"/>
        </w:rPr>
        <w:t>económicos, configurando una transición epidemiológica (TE) (</w:t>
      </w:r>
      <w:proofErr w:type="spellStart"/>
      <w:r w:rsidRPr="00ED7E15">
        <w:rPr>
          <w:rFonts w:ascii="Times New Roman" w:eastAsia="Times" w:hAnsi="Times New Roman"/>
          <w:color w:val="000000"/>
          <w:sz w:val="20"/>
        </w:rPr>
        <w:t>Karoly</w:t>
      </w:r>
      <w:proofErr w:type="spellEnd"/>
      <w:r w:rsidRPr="00ED7E15">
        <w:rPr>
          <w:rFonts w:ascii="Times New Roman" w:eastAsia="Times" w:hAnsi="Times New Roman"/>
          <w:color w:val="000000"/>
          <w:sz w:val="20"/>
        </w:rPr>
        <w:t xml:space="preserve">, y </w:t>
      </w:r>
      <w:proofErr w:type="spellStart"/>
      <w:r w:rsidRPr="00ED7E15">
        <w:rPr>
          <w:rFonts w:ascii="Times New Roman" w:eastAsia="Times" w:hAnsi="Times New Roman"/>
          <w:color w:val="000000"/>
          <w:sz w:val="20"/>
        </w:rPr>
        <w:t>Burtless</w:t>
      </w:r>
      <w:proofErr w:type="spellEnd"/>
      <w:r w:rsidRPr="00ED7E15">
        <w:rPr>
          <w:rFonts w:ascii="Times New Roman" w:eastAsia="Times" w:hAnsi="Times New Roman"/>
          <w:color w:val="000000"/>
          <w:sz w:val="20"/>
        </w:rPr>
        <w:t xml:space="preserve">, 1995), que dividió </w:t>
      </w:r>
      <w:r w:rsidRPr="00ED7E15">
        <w:rPr>
          <w:rFonts w:ascii="Times New Roman" w:eastAsia="Times New Roman" w:hAnsi="Times New Roman"/>
          <w:color w:val="000000"/>
          <w:sz w:val="20"/>
        </w:rPr>
        <w:t>en cuatro etapas, correspondían a diferentes estadios de la sociedad: la tradicional, la transicional temprana, la transicional tardía y la moderna (</w:t>
      </w:r>
      <w:proofErr w:type="spellStart"/>
      <w:r w:rsidRPr="00ED7E15">
        <w:rPr>
          <w:rFonts w:ascii="Times New Roman" w:eastAsia="Times New Roman" w:hAnsi="Times New Roman"/>
          <w:color w:val="000000"/>
          <w:sz w:val="20"/>
        </w:rPr>
        <w:t>Frederiksen</w:t>
      </w:r>
      <w:proofErr w:type="spellEnd"/>
      <w:r w:rsidRPr="00ED7E15">
        <w:rPr>
          <w:rFonts w:ascii="Times New Roman" w:eastAsia="Times New Roman" w:hAnsi="Times New Roman"/>
          <w:color w:val="000000"/>
          <w:sz w:val="20"/>
        </w:rPr>
        <w:t>, 1969).</w:t>
      </w:r>
    </w:p>
  </w:footnote>
  <w:footnote w:id="4">
    <w:p w:rsidR="00ED7E15" w:rsidRPr="00F52C7C" w:rsidRDefault="00ED7E15" w:rsidP="00C3062F">
      <w:pPr>
        <w:pStyle w:val="Textonotapie"/>
        <w:spacing w:line="360" w:lineRule="auto"/>
        <w:jc w:val="both"/>
        <w:rPr>
          <w:rFonts w:ascii="Times New Roman" w:hAnsi="Times New Roman"/>
        </w:rPr>
      </w:pPr>
      <w:r w:rsidRPr="00F52C7C">
        <w:rPr>
          <w:rStyle w:val="Refdenotaalpie"/>
          <w:rFonts w:ascii="Times New Roman" w:hAnsi="Times New Roman"/>
        </w:rPr>
        <w:footnoteRef/>
      </w:r>
      <w:r w:rsidRPr="00F52C7C">
        <w:rPr>
          <w:rFonts w:ascii="Times New Roman" w:hAnsi="Times New Roman"/>
        </w:rPr>
        <w:t xml:space="preserve"> </w:t>
      </w:r>
      <w:r w:rsidR="00E05A46">
        <w:rPr>
          <w:rFonts w:ascii="Times New Roman" w:hAnsi="Times New Roman"/>
        </w:rPr>
        <w:t xml:space="preserve">Su formulación de la TE fue presentada </w:t>
      </w:r>
      <w:r w:rsidR="00E05A46">
        <w:rPr>
          <w:rFonts w:ascii="Times New Roman" w:eastAsia="Times" w:hAnsi="Times New Roman"/>
          <w:color w:val="000000"/>
        </w:rPr>
        <w:t>e</w:t>
      </w:r>
      <w:r w:rsidRPr="00F52C7C">
        <w:rPr>
          <w:rFonts w:ascii="Times New Roman" w:eastAsia="Times" w:hAnsi="Times New Roman"/>
          <w:color w:val="000000"/>
        </w:rPr>
        <w:t xml:space="preserve">n </w:t>
      </w:r>
      <w:r w:rsidR="00E05A46">
        <w:rPr>
          <w:rFonts w:ascii="Times New Roman" w:eastAsia="Times" w:hAnsi="Times New Roman"/>
          <w:color w:val="000000"/>
        </w:rPr>
        <w:t>el</w:t>
      </w:r>
      <w:r w:rsidRPr="00F52C7C">
        <w:rPr>
          <w:rFonts w:ascii="Times New Roman" w:eastAsia="Times" w:hAnsi="Times New Roman"/>
          <w:color w:val="000000"/>
        </w:rPr>
        <w:t xml:space="preserve"> artículo titulado “Transición epidemiológica, una teoría epidemi</w:t>
      </w:r>
      <w:r w:rsidR="00F52C7C">
        <w:rPr>
          <w:rFonts w:ascii="Times New Roman" w:eastAsia="Times" w:hAnsi="Times New Roman"/>
          <w:color w:val="000000"/>
        </w:rPr>
        <w:t>ológica del cambio poblacional”</w:t>
      </w:r>
      <w:r w:rsidR="00F52C7C" w:rsidRPr="00F52C7C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="00F52C7C" w:rsidRPr="00F52C7C">
        <w:rPr>
          <w:rFonts w:ascii="Times New Roman" w:eastAsia="Times New Roman" w:hAnsi="Times New Roman"/>
          <w:color w:val="000000"/>
        </w:rPr>
        <w:t>Omran</w:t>
      </w:r>
      <w:proofErr w:type="spellEnd"/>
      <w:r w:rsidR="00F52C7C" w:rsidRPr="00F52C7C">
        <w:rPr>
          <w:rFonts w:ascii="Times New Roman" w:eastAsia="Times New Roman" w:hAnsi="Times New Roman"/>
          <w:color w:val="000000"/>
        </w:rPr>
        <w:t>, 1971).</w:t>
      </w:r>
    </w:p>
  </w:footnote>
  <w:footnote w:id="5">
    <w:p w:rsidR="00CF6B1C" w:rsidRPr="000B6259" w:rsidRDefault="000D6ECF" w:rsidP="000B6259">
      <w:pPr>
        <w:spacing w:after="0" w:line="360" w:lineRule="auto"/>
        <w:jc w:val="both"/>
      </w:pPr>
      <w:r w:rsidRPr="00E2791F">
        <w:rPr>
          <w:rFonts w:ascii="Times New Roman" w:hAnsi="Times New Roman"/>
          <w:sz w:val="20"/>
          <w:vertAlign w:val="superscript"/>
        </w:rPr>
        <w:footnoteRef/>
      </w:r>
      <w:r w:rsidRPr="00E2791F">
        <w:rPr>
          <w:rFonts w:ascii="Times New Roman" w:eastAsia="Times New Roman" w:hAnsi="Times New Roman"/>
          <w:sz w:val="20"/>
        </w:rPr>
        <w:t xml:space="preserve"> </w:t>
      </w:r>
      <w:r w:rsidR="000B6259" w:rsidRPr="009D4097">
        <w:rPr>
          <w:rFonts w:ascii="Times New Roman" w:eastAsia="Times New Roman" w:hAnsi="Times New Roman"/>
          <w:sz w:val="20"/>
        </w:rPr>
        <w:t xml:space="preserve">En la actualidad </w:t>
      </w:r>
      <w:r w:rsidR="000B6259" w:rsidRPr="009D4097">
        <w:rPr>
          <w:rFonts w:ascii="Times New Roman" w:eastAsia="Times New Roman" w:hAnsi="Times New Roman"/>
          <w:color w:val="000000"/>
          <w:sz w:val="20"/>
        </w:rPr>
        <w:t>las principales causas de defunción –</w:t>
      </w:r>
      <w:r w:rsidR="000B6259" w:rsidRPr="009D4097">
        <w:rPr>
          <w:rFonts w:ascii="Times New Roman" w:eastAsia="Times New Roman" w:hAnsi="Times New Roman"/>
          <w:sz w:val="20"/>
        </w:rPr>
        <w:t>las enfermedades crónicas no transmisibles (ECNT), entre ellas</w:t>
      </w:r>
      <w:r w:rsidR="000B6259" w:rsidRPr="009D4097">
        <w:rPr>
          <w:rFonts w:ascii="Times New Roman" w:eastAsia="Times New Roman" w:hAnsi="Times New Roman"/>
          <w:color w:val="242021"/>
          <w:sz w:val="20"/>
        </w:rPr>
        <w:t xml:space="preserve"> cardiovasculares y cáncer</w:t>
      </w:r>
      <w:r w:rsidR="000B6259" w:rsidRPr="009D4097">
        <w:rPr>
          <w:rFonts w:ascii="Times New Roman" w:eastAsia="Times New Roman" w:hAnsi="Times New Roman"/>
          <w:color w:val="000000"/>
          <w:sz w:val="20"/>
        </w:rPr>
        <w:t>–</w:t>
      </w:r>
      <w:r w:rsidR="000B6259" w:rsidRPr="009D4097">
        <w:rPr>
          <w:rFonts w:ascii="Times New Roman" w:eastAsia="Times New Roman" w:hAnsi="Times New Roman"/>
          <w:sz w:val="20"/>
        </w:rPr>
        <w:t xml:space="preserve">, suelen ser las misma que en la </w:t>
      </w:r>
      <w:proofErr w:type="spellStart"/>
      <w:r w:rsidR="000B6259" w:rsidRPr="009D4097">
        <w:rPr>
          <w:rFonts w:ascii="Times New Roman" w:eastAsia="Times New Roman" w:hAnsi="Times New Roman"/>
          <w:sz w:val="20"/>
        </w:rPr>
        <w:t>morbimortalidad</w:t>
      </w:r>
      <w:proofErr w:type="spellEnd"/>
      <w:r w:rsidR="000B6259" w:rsidRPr="009D4097">
        <w:rPr>
          <w:rFonts w:ascii="Times New Roman" w:eastAsia="Times New Roman" w:hAnsi="Times New Roman"/>
          <w:sz w:val="20"/>
        </w:rPr>
        <w:t xml:space="preserve"> (</w:t>
      </w:r>
      <w:r w:rsidR="000B6259" w:rsidRPr="009D4097">
        <w:rPr>
          <w:rFonts w:ascii="Times New Roman" w:eastAsia="Times New Roman" w:hAnsi="Times New Roman"/>
          <w:sz w:val="20"/>
          <w:highlight w:val="white"/>
        </w:rPr>
        <w:t>Stevenson, 2014)</w:t>
      </w:r>
      <w:r w:rsidR="000B6259" w:rsidRPr="009D4097">
        <w:rPr>
          <w:rFonts w:ascii="Times New Roman" w:eastAsia="Times New Roman" w:hAnsi="Times New Roman"/>
          <w:color w:val="000000"/>
          <w:sz w:val="20"/>
        </w:rPr>
        <w:t xml:space="preserve"> dado el mayor conocimiento y control sobre algunas enfermedades crónicas  que se vieron favorecidas por la aparición de nuevos tratamientos, medicamentos.</w:t>
      </w:r>
      <w:r w:rsidR="000B6259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E2791F">
        <w:rPr>
          <w:rFonts w:ascii="Times New Roman" w:eastAsia="Times New Roman" w:hAnsi="Times New Roman"/>
          <w:sz w:val="20"/>
          <w:highlight w:val="white"/>
        </w:rPr>
        <w:t>I</w:t>
      </w:r>
      <w:r w:rsidRPr="00E2791F">
        <w:rPr>
          <w:rFonts w:ascii="Times New Roman" w:eastAsia="Times New Roman" w:hAnsi="Times New Roman"/>
          <w:sz w:val="20"/>
        </w:rPr>
        <w:t xml:space="preserve">ndependientemente del país de residencia en que se viva, existe una agobiante carga de la </w:t>
      </w:r>
      <w:proofErr w:type="spellStart"/>
      <w:r w:rsidRPr="00E2791F">
        <w:rPr>
          <w:rFonts w:ascii="Times New Roman" w:eastAsia="Times New Roman" w:hAnsi="Times New Roman"/>
          <w:sz w:val="20"/>
        </w:rPr>
        <w:t>morbimortalidad</w:t>
      </w:r>
      <w:proofErr w:type="spellEnd"/>
      <w:r w:rsidRPr="00E2791F">
        <w:rPr>
          <w:rFonts w:ascii="Times New Roman" w:eastAsia="Times New Roman" w:hAnsi="Times New Roman"/>
          <w:sz w:val="20"/>
        </w:rPr>
        <w:t xml:space="preserve"> en la vejez (</w:t>
      </w:r>
      <w:r w:rsidRPr="00E2791F">
        <w:rPr>
          <w:rFonts w:ascii="Times New Roman" w:eastAsia="Times New Roman" w:hAnsi="Times New Roman"/>
          <w:sz w:val="20"/>
          <w:highlight w:val="white"/>
        </w:rPr>
        <w:t>CEPAL, 2020),</w:t>
      </w:r>
      <w:r w:rsidRPr="00E2791F">
        <w:rPr>
          <w:rFonts w:ascii="Times New Roman" w:eastAsia="Times New Roman" w:hAnsi="Times New Roman"/>
          <w:color w:val="000000"/>
          <w:sz w:val="20"/>
        </w:rPr>
        <w:t xml:space="preserve"> conformándose en </w:t>
      </w:r>
      <w:r w:rsidRPr="00E2791F">
        <w:rPr>
          <w:rFonts w:ascii="Times New Roman" w:eastAsia="Times New Roman" w:hAnsi="Times New Roman"/>
          <w:sz w:val="20"/>
        </w:rPr>
        <w:t>los principales problemas de salud pública en el mundo (OMS, 2014).</w:t>
      </w:r>
    </w:p>
  </w:footnote>
  <w:footnote w:id="6">
    <w:p w:rsidR="00E05A46" w:rsidRPr="00E2791F" w:rsidRDefault="00E05A46" w:rsidP="000B6259">
      <w:pPr>
        <w:spacing w:after="0" w:line="360" w:lineRule="auto"/>
        <w:jc w:val="both"/>
        <w:rPr>
          <w:rFonts w:ascii="Times New Roman" w:eastAsia="Times New Roman" w:hAnsi="Times New Roman"/>
          <w:color w:val="242021"/>
          <w:sz w:val="20"/>
        </w:rPr>
      </w:pPr>
      <w:r w:rsidRPr="00E2791F">
        <w:rPr>
          <w:rFonts w:ascii="Times New Roman" w:hAnsi="Times New Roman"/>
          <w:sz w:val="20"/>
          <w:vertAlign w:val="superscript"/>
        </w:rPr>
        <w:footnoteRef/>
      </w:r>
      <w:r w:rsidRPr="00E2791F">
        <w:rPr>
          <w:rFonts w:ascii="Times New Roman" w:eastAsia="Times New Roman" w:hAnsi="Times New Roman"/>
          <w:sz w:val="20"/>
        </w:rPr>
        <w:t xml:space="preserve"> </w:t>
      </w:r>
      <w:r w:rsidRPr="00E2791F">
        <w:rPr>
          <w:rFonts w:ascii="Times New Roman" w:eastAsia="Times New Roman" w:hAnsi="Times New Roman"/>
          <w:color w:val="242021"/>
          <w:sz w:val="20"/>
        </w:rPr>
        <w:t>En las últimas décadas ganan protagonismo las muertes por accidentes y causas violentas (</w:t>
      </w:r>
      <w:proofErr w:type="spellStart"/>
      <w:r w:rsidRPr="00E2791F">
        <w:rPr>
          <w:rFonts w:ascii="Times New Roman" w:eastAsia="Times New Roman" w:hAnsi="Times New Roman"/>
          <w:color w:val="242021"/>
          <w:sz w:val="20"/>
        </w:rPr>
        <w:t>Fanta</w:t>
      </w:r>
      <w:proofErr w:type="spellEnd"/>
      <w:r w:rsidRPr="00E2791F">
        <w:rPr>
          <w:rFonts w:ascii="Times New Roman" w:eastAsia="Times New Roman" w:hAnsi="Times New Roman"/>
          <w:color w:val="242021"/>
          <w:sz w:val="20"/>
        </w:rPr>
        <w:t xml:space="preserve"> y </w:t>
      </w:r>
      <w:proofErr w:type="spellStart"/>
      <w:r w:rsidRPr="00E2791F">
        <w:rPr>
          <w:rFonts w:ascii="Times New Roman" w:eastAsia="Times New Roman" w:hAnsi="Times New Roman"/>
          <w:color w:val="242021"/>
          <w:sz w:val="20"/>
        </w:rPr>
        <w:t>Tumas</w:t>
      </w:r>
      <w:proofErr w:type="spellEnd"/>
      <w:r w:rsidRPr="00E2791F">
        <w:rPr>
          <w:rFonts w:ascii="Times New Roman" w:eastAsia="Times New Roman" w:hAnsi="Times New Roman"/>
          <w:color w:val="242021"/>
          <w:sz w:val="20"/>
        </w:rPr>
        <w:t>, 2020)</w:t>
      </w:r>
      <w:r>
        <w:rPr>
          <w:rFonts w:ascii="Times New Roman" w:eastAsia="Times New Roman" w:hAnsi="Times New Roman"/>
          <w:color w:val="242021"/>
          <w:sz w:val="20"/>
        </w:rPr>
        <w:t>.</w:t>
      </w:r>
    </w:p>
  </w:footnote>
  <w:footnote w:id="7">
    <w:p w:rsidR="00CF6B1C" w:rsidRPr="00C3062F" w:rsidRDefault="000D6ECF" w:rsidP="00436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C3062F">
        <w:rPr>
          <w:rFonts w:ascii="Times New Roman" w:hAnsi="Times New Roman"/>
          <w:sz w:val="20"/>
          <w:vertAlign w:val="superscript"/>
        </w:rPr>
        <w:footnoteRef/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Han propendido interpretaciones multifactoriales más complejas (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Cassen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, 1993; 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Karoly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 y 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Burtless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, 1995; 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Kelley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 y Schmidt, 1995).</w:t>
      </w:r>
    </w:p>
  </w:footnote>
  <w:footnote w:id="8">
    <w:p w:rsidR="005D578A" w:rsidRPr="00C3062F" w:rsidRDefault="005D578A" w:rsidP="005D5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C3062F">
        <w:rPr>
          <w:rFonts w:ascii="Times New Roman" w:hAnsi="Times New Roman"/>
          <w:sz w:val="20"/>
          <w:vertAlign w:val="superscript"/>
        </w:rPr>
        <w:footnoteRef/>
      </w:r>
      <w:r w:rsidRPr="00C3062F">
        <w:rPr>
          <w:rFonts w:ascii="Times New Roman" w:eastAsia="Times New Roman" w:hAnsi="Times New Roman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191919"/>
          <w:sz w:val="20"/>
        </w:rPr>
        <w:t>La</w:t>
      </w:r>
      <w:r w:rsidRPr="00C3062F">
        <w:rPr>
          <w:rFonts w:ascii="Times New Roman" w:eastAsia="Times New Roman" w:hAnsi="Times New Roman"/>
          <w:color w:val="4B4B4B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principales diferencias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en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morbilidad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se observan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en padecimientos infecciosos </w:t>
      </w:r>
      <w:r w:rsidRPr="00C3062F">
        <w:rPr>
          <w:rFonts w:ascii="Times New Roman" w:eastAsia="Times New Roman" w:hAnsi="Times New Roman"/>
          <w:color w:val="313131"/>
          <w:sz w:val="20"/>
        </w:rPr>
        <w:t>y agudo</w:t>
      </w:r>
      <w:r w:rsidRPr="00C3062F">
        <w:rPr>
          <w:rFonts w:ascii="Times New Roman" w:eastAsia="Times New Roman" w:hAnsi="Times New Roman"/>
          <w:color w:val="4B4B4B"/>
          <w:sz w:val="20"/>
        </w:rPr>
        <w:t xml:space="preserve">s,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que aún tienen elevada frecuencia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en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las regiones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más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pobres. Las </w:t>
      </w:r>
      <w:r w:rsidRPr="00C3062F">
        <w:rPr>
          <w:rFonts w:ascii="Times New Roman" w:eastAsia="Times New Roman" w:hAnsi="Times New Roman"/>
          <w:color w:val="313131"/>
          <w:sz w:val="20"/>
        </w:rPr>
        <w:t>enfer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medades infecciosas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en </w:t>
      </w:r>
      <w:r w:rsidRPr="00C3062F">
        <w:rPr>
          <w:rFonts w:ascii="Times New Roman" w:eastAsia="Times New Roman" w:hAnsi="Times New Roman"/>
          <w:color w:val="050505"/>
          <w:sz w:val="20"/>
        </w:rPr>
        <w:t>l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as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zonas </w:t>
      </w:r>
      <w:r w:rsidRPr="00C3062F">
        <w:rPr>
          <w:rFonts w:ascii="Times New Roman" w:eastAsia="Times New Roman" w:hAnsi="Times New Roman"/>
          <w:color w:val="050505"/>
          <w:sz w:val="20"/>
        </w:rPr>
        <w:t>rur</w:t>
      </w:r>
      <w:r w:rsidRPr="00C3062F">
        <w:rPr>
          <w:rFonts w:ascii="Times New Roman" w:eastAsia="Times New Roman" w:hAnsi="Times New Roman"/>
          <w:color w:val="313131"/>
          <w:sz w:val="20"/>
        </w:rPr>
        <w:t>a</w:t>
      </w:r>
      <w:r w:rsidRPr="00C3062F">
        <w:rPr>
          <w:rFonts w:ascii="Times New Roman" w:eastAsia="Times New Roman" w:hAnsi="Times New Roman"/>
          <w:color w:val="050505"/>
          <w:sz w:val="20"/>
        </w:rPr>
        <w:t>l</w:t>
      </w:r>
      <w:r w:rsidRPr="00C3062F">
        <w:rPr>
          <w:rFonts w:ascii="Times New Roman" w:eastAsia="Times New Roman" w:hAnsi="Times New Roman"/>
          <w:color w:val="313131"/>
          <w:sz w:val="20"/>
        </w:rPr>
        <w:t>es so</w:t>
      </w:r>
      <w:r w:rsidRPr="00C3062F">
        <w:rPr>
          <w:rFonts w:ascii="Times New Roman" w:eastAsia="Times New Roman" w:hAnsi="Times New Roman"/>
          <w:color w:val="050505"/>
          <w:sz w:val="20"/>
        </w:rPr>
        <w:t xml:space="preserve">n más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del doble que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en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las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zonas </w:t>
      </w:r>
      <w:r w:rsidRPr="00C3062F">
        <w:rPr>
          <w:rFonts w:ascii="Times New Roman" w:eastAsia="Times New Roman" w:hAnsi="Times New Roman"/>
          <w:color w:val="191919"/>
          <w:sz w:val="20"/>
        </w:rPr>
        <w:t>urbanas</w:t>
      </w:r>
      <w:r w:rsidRPr="00C3062F">
        <w:rPr>
          <w:rFonts w:ascii="Times New Roman" w:eastAsia="Times New Roman" w:hAnsi="Times New Roman"/>
          <w:sz w:val="20"/>
        </w:rPr>
        <w:t xml:space="preserve"> (Carranza Rodríguez, et al., 2003). </w:t>
      </w:r>
      <w:r w:rsidRPr="00C3062F">
        <w:rPr>
          <w:rFonts w:ascii="Times New Roman" w:eastAsia="Times New Roman" w:hAnsi="Times New Roman"/>
          <w:color w:val="000000"/>
          <w:sz w:val="20"/>
        </w:rPr>
        <w:t>Los países del Este Europeo, en consonancia con los cambios políticos y socioeconómicos que han vivido en las últimas décadas, han visto interrumpida su transición epidemiológica, con la reemergencia de enfermedades de naturaleza infecciosa (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Meslé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 y 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Vallin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>, 1995).</w:t>
      </w:r>
    </w:p>
  </w:footnote>
  <w:footnote w:id="9">
    <w:p w:rsidR="00CF6B1C" w:rsidRPr="00E2791F" w:rsidRDefault="000D6ECF" w:rsidP="00436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C3062F">
        <w:rPr>
          <w:rFonts w:ascii="Times New Roman" w:hAnsi="Times New Roman"/>
          <w:sz w:val="20"/>
          <w:vertAlign w:val="superscript"/>
        </w:rPr>
        <w:footnoteRef/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Los avances en la mortalidad y la morbilidad son reversibles y prevalecen aún patrones de enfermedades y mortalidad pre y </w:t>
      </w:r>
      <w:proofErr w:type="spellStart"/>
      <w:r w:rsidRPr="00C3062F">
        <w:rPr>
          <w:rFonts w:ascii="Times New Roman" w:eastAsia="Times New Roman" w:hAnsi="Times New Roman"/>
          <w:color w:val="000000"/>
          <w:sz w:val="20"/>
        </w:rPr>
        <w:t>postransicional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. </w:t>
      </w:r>
      <w:r w:rsidRPr="00C3062F">
        <w:rPr>
          <w:rFonts w:ascii="Times New Roman" w:eastAsia="Times New Roman" w:hAnsi="Times New Roman"/>
          <w:color w:val="1D1D1D"/>
          <w:sz w:val="20"/>
        </w:rPr>
        <w:t>E</w:t>
      </w:r>
      <w:r w:rsidRPr="00C3062F">
        <w:rPr>
          <w:rFonts w:ascii="Times New Roman" w:eastAsia="Times New Roman" w:hAnsi="Times New Roman"/>
          <w:color w:val="3C3C3C"/>
          <w:sz w:val="20"/>
        </w:rPr>
        <w:t>sta s</w:t>
      </w:r>
      <w:r w:rsidRPr="00C3062F">
        <w:rPr>
          <w:rFonts w:ascii="Times New Roman" w:eastAsia="Times New Roman" w:hAnsi="Times New Roman"/>
          <w:color w:val="1D1D1D"/>
          <w:sz w:val="20"/>
        </w:rPr>
        <w:t>itua</w:t>
      </w:r>
      <w:r w:rsidRPr="00C3062F">
        <w:rPr>
          <w:rFonts w:ascii="Times New Roman" w:eastAsia="Times New Roman" w:hAnsi="Times New Roman"/>
          <w:color w:val="3C3C3C"/>
          <w:sz w:val="20"/>
        </w:rPr>
        <w:t>ció</w:t>
      </w:r>
      <w:r w:rsidRPr="00C3062F">
        <w:rPr>
          <w:rFonts w:ascii="Times New Roman" w:eastAsia="Times New Roman" w:hAnsi="Times New Roman"/>
          <w:color w:val="0D0D0D"/>
          <w:sz w:val="20"/>
        </w:rPr>
        <w:t xml:space="preserve">n </w:t>
      </w:r>
      <w:r w:rsidRPr="00C3062F">
        <w:rPr>
          <w:rFonts w:ascii="Times New Roman" w:eastAsia="Times New Roman" w:hAnsi="Times New Roman"/>
          <w:color w:val="3C3C3C"/>
          <w:sz w:val="20"/>
        </w:rPr>
        <w:t>ex</w:t>
      </w:r>
      <w:r w:rsidRPr="00C3062F">
        <w:rPr>
          <w:rFonts w:ascii="Times New Roman" w:eastAsia="Times New Roman" w:hAnsi="Times New Roman"/>
          <w:color w:val="1D1D1D"/>
          <w:sz w:val="20"/>
        </w:rPr>
        <w:t>i</w:t>
      </w:r>
      <w:r w:rsidRPr="00C3062F">
        <w:rPr>
          <w:rFonts w:ascii="Times New Roman" w:eastAsia="Times New Roman" w:hAnsi="Times New Roman"/>
          <w:color w:val="3C3C3C"/>
          <w:sz w:val="20"/>
        </w:rPr>
        <w:t>g</w:t>
      </w:r>
      <w:r w:rsidRPr="00C3062F">
        <w:rPr>
          <w:rFonts w:ascii="Times New Roman" w:eastAsia="Times New Roman" w:hAnsi="Times New Roman"/>
          <w:color w:val="1D1D1D"/>
          <w:sz w:val="20"/>
        </w:rPr>
        <w:t>i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ó </w:t>
      </w:r>
      <w:r w:rsidRPr="00C3062F">
        <w:rPr>
          <w:rFonts w:ascii="Times New Roman" w:eastAsia="Times New Roman" w:hAnsi="Times New Roman"/>
          <w:color w:val="1D1D1D"/>
          <w:sz w:val="20"/>
        </w:rPr>
        <w:t>nuevo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2D2D2D"/>
          <w:sz w:val="20"/>
        </w:rPr>
        <w:t>modelo</w:t>
      </w:r>
      <w:r w:rsidRPr="00C3062F">
        <w:rPr>
          <w:rFonts w:ascii="Times New Roman" w:eastAsia="Times New Roman" w:hAnsi="Times New Roman"/>
          <w:color w:val="515151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de </w:t>
      </w:r>
      <w:r w:rsidRPr="00C3062F">
        <w:rPr>
          <w:rFonts w:ascii="Times New Roman" w:eastAsia="Times New Roman" w:hAnsi="Times New Roman"/>
          <w:color w:val="1D1D1D"/>
          <w:sz w:val="20"/>
        </w:rPr>
        <w:t>tr</w:t>
      </w:r>
      <w:r w:rsidRPr="00C3062F">
        <w:rPr>
          <w:rFonts w:ascii="Times New Roman" w:eastAsia="Times New Roman" w:hAnsi="Times New Roman"/>
          <w:color w:val="3C3C3C"/>
          <w:sz w:val="20"/>
        </w:rPr>
        <w:t>ans</w:t>
      </w:r>
      <w:r w:rsidRPr="00C3062F">
        <w:rPr>
          <w:rFonts w:ascii="Times New Roman" w:eastAsia="Times New Roman" w:hAnsi="Times New Roman"/>
          <w:color w:val="1D1D1D"/>
          <w:sz w:val="20"/>
        </w:rPr>
        <w:t>ición</w:t>
      </w:r>
      <w:proofErr w:type="gramStart"/>
      <w:r w:rsidRPr="00C3062F">
        <w:rPr>
          <w:rFonts w:ascii="Times New Roman" w:eastAsia="Times New Roman" w:hAnsi="Times New Roman"/>
          <w:color w:val="3C3C3C"/>
          <w:sz w:val="20"/>
        </w:rPr>
        <w:t>:  "</w:t>
      </w:r>
      <w:proofErr w:type="gramEnd"/>
      <w:r w:rsidRPr="00C3062F">
        <w:rPr>
          <w:rFonts w:ascii="Times New Roman" w:eastAsia="Times New Roman" w:hAnsi="Times New Roman"/>
          <w:color w:val="1D1D1D"/>
          <w:sz w:val="20"/>
        </w:rPr>
        <w:t>tr</w:t>
      </w:r>
      <w:r w:rsidRPr="00C3062F">
        <w:rPr>
          <w:rFonts w:ascii="Times New Roman" w:eastAsia="Times New Roman" w:hAnsi="Times New Roman"/>
          <w:color w:val="3C3C3C"/>
          <w:sz w:val="20"/>
        </w:rPr>
        <w:t>a</w:t>
      </w:r>
      <w:r w:rsidRPr="00C3062F">
        <w:rPr>
          <w:rFonts w:ascii="Times New Roman" w:eastAsia="Times New Roman" w:hAnsi="Times New Roman"/>
          <w:color w:val="1D1D1D"/>
          <w:sz w:val="20"/>
        </w:rPr>
        <w:t>n</w:t>
      </w:r>
      <w:r w:rsidRPr="00C3062F">
        <w:rPr>
          <w:rFonts w:ascii="Times New Roman" w:eastAsia="Times New Roman" w:hAnsi="Times New Roman"/>
          <w:color w:val="3C3C3C"/>
          <w:sz w:val="20"/>
        </w:rPr>
        <w:t>s</w:t>
      </w:r>
      <w:r w:rsidRPr="00C3062F">
        <w:rPr>
          <w:rFonts w:ascii="Times New Roman" w:eastAsia="Times New Roman" w:hAnsi="Times New Roman"/>
          <w:color w:val="1D1D1D"/>
          <w:sz w:val="20"/>
        </w:rPr>
        <w:t>i</w:t>
      </w:r>
      <w:r w:rsidRPr="00C3062F">
        <w:rPr>
          <w:rFonts w:ascii="Times New Roman" w:eastAsia="Times New Roman" w:hAnsi="Times New Roman"/>
          <w:color w:val="3C3C3C"/>
          <w:sz w:val="20"/>
        </w:rPr>
        <w:t>ció</w:t>
      </w:r>
      <w:r w:rsidRPr="00C3062F">
        <w:rPr>
          <w:rFonts w:ascii="Times New Roman" w:eastAsia="Times New Roman" w:hAnsi="Times New Roman"/>
          <w:color w:val="1D1D1D"/>
          <w:sz w:val="20"/>
        </w:rPr>
        <w:t>n prol</w:t>
      </w:r>
      <w:r w:rsidRPr="00C3062F">
        <w:rPr>
          <w:rFonts w:ascii="Times New Roman" w:eastAsia="Times New Roman" w:hAnsi="Times New Roman"/>
          <w:color w:val="3C3C3C"/>
          <w:sz w:val="20"/>
        </w:rPr>
        <w:t>o</w:t>
      </w:r>
      <w:r w:rsidRPr="00C3062F">
        <w:rPr>
          <w:rFonts w:ascii="Times New Roman" w:eastAsia="Times New Roman" w:hAnsi="Times New Roman"/>
          <w:color w:val="1D1D1D"/>
          <w:sz w:val="20"/>
        </w:rPr>
        <w:t>n</w:t>
      </w:r>
      <w:r w:rsidRPr="00C3062F">
        <w:rPr>
          <w:rFonts w:ascii="Times New Roman" w:eastAsia="Times New Roman" w:hAnsi="Times New Roman"/>
          <w:color w:val="3C3C3C"/>
          <w:sz w:val="20"/>
        </w:rPr>
        <w:t>gada", "t</w:t>
      </w:r>
      <w:r w:rsidRPr="00C3062F">
        <w:rPr>
          <w:rFonts w:ascii="Times New Roman" w:eastAsia="Times New Roman" w:hAnsi="Times New Roman"/>
          <w:color w:val="1D1D1D"/>
          <w:sz w:val="20"/>
        </w:rPr>
        <w:t>r</w:t>
      </w:r>
      <w:r w:rsidRPr="00C3062F">
        <w:rPr>
          <w:rFonts w:ascii="Times New Roman" w:eastAsia="Times New Roman" w:hAnsi="Times New Roman"/>
          <w:color w:val="3C3C3C"/>
          <w:sz w:val="20"/>
        </w:rPr>
        <w:t>a</w:t>
      </w:r>
      <w:r w:rsidRPr="00C3062F">
        <w:rPr>
          <w:rFonts w:ascii="Times New Roman" w:eastAsia="Times New Roman" w:hAnsi="Times New Roman"/>
          <w:color w:val="1D1D1D"/>
          <w:sz w:val="20"/>
        </w:rPr>
        <w:t>n</w:t>
      </w:r>
      <w:r w:rsidRPr="00C3062F">
        <w:rPr>
          <w:rFonts w:ascii="Times New Roman" w:eastAsia="Times New Roman" w:hAnsi="Times New Roman"/>
          <w:color w:val="3C3C3C"/>
          <w:sz w:val="20"/>
        </w:rPr>
        <w:t>s</w:t>
      </w:r>
      <w:r w:rsidRPr="00C3062F">
        <w:rPr>
          <w:rFonts w:ascii="Times New Roman" w:eastAsia="Times New Roman" w:hAnsi="Times New Roman"/>
          <w:color w:val="0D0D0D"/>
          <w:sz w:val="20"/>
        </w:rPr>
        <w:t>i</w:t>
      </w:r>
      <w:r w:rsidRPr="00C3062F">
        <w:rPr>
          <w:rFonts w:ascii="Times New Roman" w:eastAsia="Times New Roman" w:hAnsi="Times New Roman"/>
          <w:color w:val="2D2D2D"/>
          <w:sz w:val="20"/>
        </w:rPr>
        <w:t>ció</w:t>
      </w:r>
      <w:r w:rsidRPr="00C3062F">
        <w:rPr>
          <w:rFonts w:ascii="Times New Roman" w:eastAsia="Times New Roman" w:hAnsi="Times New Roman"/>
          <w:color w:val="0D0D0D"/>
          <w:sz w:val="20"/>
        </w:rPr>
        <w:t>n dil</w:t>
      </w:r>
      <w:r w:rsidRPr="00C3062F">
        <w:rPr>
          <w:rFonts w:ascii="Times New Roman" w:eastAsia="Times New Roman" w:hAnsi="Times New Roman"/>
          <w:color w:val="3C3C3C"/>
          <w:sz w:val="20"/>
        </w:rPr>
        <w:t>a</w:t>
      </w:r>
      <w:r w:rsidRPr="00C3062F">
        <w:rPr>
          <w:rFonts w:ascii="Times New Roman" w:eastAsia="Times New Roman" w:hAnsi="Times New Roman"/>
          <w:color w:val="1D1D1D"/>
          <w:sz w:val="20"/>
        </w:rPr>
        <w:t>tad</w:t>
      </w:r>
      <w:r w:rsidRPr="00C3062F">
        <w:rPr>
          <w:rFonts w:ascii="Times New Roman" w:eastAsia="Times New Roman" w:hAnsi="Times New Roman"/>
          <w:color w:val="3C3C3C"/>
          <w:sz w:val="20"/>
        </w:rPr>
        <w:t>a" y "</w:t>
      </w:r>
      <w:r w:rsidRPr="00C3062F">
        <w:rPr>
          <w:rFonts w:ascii="Times New Roman" w:eastAsia="Times New Roman" w:hAnsi="Times New Roman"/>
          <w:color w:val="0D0D0D"/>
          <w:sz w:val="20"/>
        </w:rPr>
        <w:t>tran</w:t>
      </w:r>
      <w:r w:rsidRPr="00C3062F">
        <w:rPr>
          <w:rFonts w:ascii="Times New Roman" w:eastAsia="Times New Roman" w:hAnsi="Times New Roman"/>
          <w:color w:val="3C3C3C"/>
          <w:sz w:val="20"/>
        </w:rPr>
        <w:t>s</w:t>
      </w:r>
      <w:r w:rsidRPr="00C3062F">
        <w:rPr>
          <w:rFonts w:ascii="Times New Roman" w:eastAsia="Times New Roman" w:hAnsi="Times New Roman"/>
          <w:color w:val="0D0D0D"/>
          <w:sz w:val="20"/>
        </w:rPr>
        <w:t>i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ción </w:t>
      </w:r>
      <w:r w:rsidRPr="00C3062F">
        <w:rPr>
          <w:rFonts w:ascii="Times New Roman" w:eastAsia="Times New Roman" w:hAnsi="Times New Roman"/>
          <w:color w:val="1D1D1D"/>
          <w:sz w:val="20"/>
        </w:rPr>
        <w:t>polarizada</w:t>
      </w:r>
      <w:r w:rsidRPr="00C3062F">
        <w:rPr>
          <w:rFonts w:ascii="Times New Roman" w:eastAsia="Times New Roman" w:hAnsi="Times New Roman"/>
          <w:color w:val="3C3C3C"/>
          <w:sz w:val="20"/>
        </w:rPr>
        <w:t>"</w:t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(Carranza Rodríguez, et al., 2003)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. </w:t>
      </w:r>
      <w:r w:rsidRPr="00C3062F">
        <w:rPr>
          <w:rFonts w:ascii="Times New Roman" w:eastAsia="Times New Roman" w:hAnsi="Times New Roman"/>
          <w:color w:val="2D2D2D"/>
          <w:sz w:val="20"/>
        </w:rPr>
        <w:t>Alg</w:t>
      </w:r>
      <w:r w:rsidRPr="00C3062F">
        <w:rPr>
          <w:rFonts w:ascii="Times New Roman" w:eastAsia="Times New Roman" w:hAnsi="Times New Roman"/>
          <w:color w:val="0D0D0D"/>
          <w:sz w:val="20"/>
        </w:rPr>
        <w:t>un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os </w:t>
      </w:r>
      <w:r w:rsidRPr="00C3062F">
        <w:rPr>
          <w:rFonts w:ascii="Times New Roman" w:eastAsia="Times New Roman" w:hAnsi="Times New Roman"/>
          <w:color w:val="1D1D1D"/>
          <w:sz w:val="20"/>
        </w:rPr>
        <w:t>paí</w:t>
      </w:r>
      <w:r w:rsidRPr="00C3062F">
        <w:rPr>
          <w:rFonts w:ascii="Times New Roman" w:eastAsia="Times New Roman" w:hAnsi="Times New Roman"/>
          <w:color w:val="3C3C3C"/>
          <w:sz w:val="20"/>
        </w:rPr>
        <w:t>ses</w:t>
      </w:r>
      <w:r w:rsidRPr="00C3062F">
        <w:rPr>
          <w:rFonts w:ascii="Times New Roman" w:eastAsia="Times New Roman" w:hAnsi="Times New Roman"/>
          <w:color w:val="1D1D1D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2D2D2D"/>
          <w:sz w:val="20"/>
        </w:rPr>
        <w:t>transitan una transición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 "</w:t>
      </w:r>
      <w:r w:rsidRPr="00C3062F">
        <w:rPr>
          <w:rFonts w:ascii="Times New Roman" w:eastAsia="Times New Roman" w:hAnsi="Times New Roman"/>
          <w:color w:val="0D0D0D"/>
          <w:sz w:val="20"/>
        </w:rPr>
        <w:t>pol</w:t>
      </w:r>
      <w:r w:rsidRPr="00C3062F">
        <w:rPr>
          <w:rFonts w:ascii="Times New Roman" w:eastAsia="Times New Roman" w:hAnsi="Times New Roman"/>
          <w:color w:val="3C3C3C"/>
          <w:sz w:val="20"/>
        </w:rPr>
        <w:t>a</w:t>
      </w:r>
      <w:r w:rsidRPr="00C3062F">
        <w:rPr>
          <w:rFonts w:ascii="Times New Roman" w:eastAsia="Times New Roman" w:hAnsi="Times New Roman"/>
          <w:color w:val="1D1D1D"/>
          <w:sz w:val="20"/>
        </w:rPr>
        <w:t>ri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zada", </w:t>
      </w:r>
      <w:r w:rsidRPr="00C3062F">
        <w:rPr>
          <w:rFonts w:ascii="Times New Roman" w:eastAsia="Times New Roman" w:hAnsi="Times New Roman"/>
          <w:color w:val="1D1D1D"/>
          <w:sz w:val="20"/>
        </w:rPr>
        <w:t>lo</w:t>
      </w:r>
      <w:r w:rsidRPr="00C3062F">
        <w:rPr>
          <w:rFonts w:ascii="Times New Roman" w:eastAsia="Times New Roman" w:hAnsi="Times New Roman"/>
          <w:color w:val="3C3C3C"/>
          <w:sz w:val="20"/>
        </w:rPr>
        <w:t>s seg</w:t>
      </w:r>
      <w:r w:rsidRPr="00C3062F">
        <w:rPr>
          <w:rFonts w:ascii="Times New Roman" w:eastAsia="Times New Roman" w:hAnsi="Times New Roman"/>
          <w:color w:val="1D1D1D"/>
          <w:sz w:val="20"/>
        </w:rPr>
        <w:t>m</w:t>
      </w:r>
      <w:r w:rsidRPr="00C3062F">
        <w:rPr>
          <w:rFonts w:ascii="Times New Roman" w:eastAsia="Times New Roman" w:hAnsi="Times New Roman"/>
          <w:color w:val="3C3C3C"/>
          <w:sz w:val="20"/>
        </w:rPr>
        <w:t>e</w:t>
      </w:r>
      <w:r w:rsidRPr="00C3062F">
        <w:rPr>
          <w:rFonts w:ascii="Times New Roman" w:eastAsia="Times New Roman" w:hAnsi="Times New Roman"/>
          <w:color w:val="0D0D0D"/>
          <w:sz w:val="20"/>
        </w:rPr>
        <w:t>n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tos socioeconómicos altos finalizaron </w:t>
      </w:r>
      <w:r w:rsidRPr="00C3062F">
        <w:rPr>
          <w:rFonts w:ascii="Times New Roman" w:eastAsia="Times New Roman" w:hAnsi="Times New Roman"/>
          <w:color w:val="0D0D0D"/>
          <w:sz w:val="20"/>
        </w:rPr>
        <w:t>l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a 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transición, </w:t>
      </w:r>
      <w:r w:rsidRPr="00C3062F">
        <w:rPr>
          <w:rFonts w:ascii="Times New Roman" w:eastAsia="Times New Roman" w:hAnsi="Times New Roman"/>
          <w:color w:val="3C3C3C"/>
          <w:sz w:val="20"/>
        </w:rPr>
        <w:t>m</w:t>
      </w:r>
      <w:r w:rsidRPr="00C3062F">
        <w:rPr>
          <w:rFonts w:ascii="Times New Roman" w:eastAsia="Times New Roman" w:hAnsi="Times New Roman"/>
          <w:color w:val="1D1D1D"/>
          <w:sz w:val="20"/>
        </w:rPr>
        <w:t>ientras qu</w:t>
      </w:r>
      <w:r w:rsidRPr="00C3062F">
        <w:rPr>
          <w:rFonts w:ascii="Times New Roman" w:eastAsia="Times New Roman" w:hAnsi="Times New Roman"/>
          <w:color w:val="3C3C3C"/>
          <w:sz w:val="20"/>
        </w:rPr>
        <w:t>e  g</w:t>
      </w:r>
      <w:r w:rsidRPr="00C3062F">
        <w:rPr>
          <w:rFonts w:ascii="Times New Roman" w:eastAsia="Times New Roman" w:hAnsi="Times New Roman"/>
          <w:color w:val="1D1D1D"/>
          <w:sz w:val="20"/>
        </w:rPr>
        <w:t>rupo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0D0D0D"/>
          <w:sz w:val="20"/>
        </w:rPr>
        <w:t>m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ás pobres </w:t>
      </w:r>
      <w:r w:rsidRPr="00C3062F">
        <w:rPr>
          <w:rFonts w:ascii="Times New Roman" w:eastAsia="Times New Roman" w:hAnsi="Times New Roman"/>
          <w:color w:val="3C3C3C"/>
          <w:sz w:val="20"/>
        </w:rPr>
        <w:t>s</w:t>
      </w:r>
      <w:r w:rsidRPr="00C3062F">
        <w:rPr>
          <w:rFonts w:ascii="Times New Roman" w:eastAsia="Times New Roman" w:hAnsi="Times New Roman"/>
          <w:color w:val="1D1D1D"/>
          <w:sz w:val="20"/>
        </w:rPr>
        <w:t>u</w:t>
      </w:r>
      <w:r w:rsidRPr="00C3062F">
        <w:rPr>
          <w:rFonts w:ascii="Times New Roman" w:eastAsia="Times New Roman" w:hAnsi="Times New Roman"/>
          <w:color w:val="3C3C3C"/>
          <w:sz w:val="20"/>
        </w:rPr>
        <w:t>f</w:t>
      </w:r>
      <w:r w:rsidRPr="00C3062F">
        <w:rPr>
          <w:rFonts w:ascii="Times New Roman" w:eastAsia="Times New Roman" w:hAnsi="Times New Roman"/>
          <w:color w:val="1D1D1D"/>
          <w:sz w:val="20"/>
        </w:rPr>
        <w:t>ren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2D2D2D"/>
          <w:sz w:val="20"/>
        </w:rPr>
        <w:t>pato</w:t>
      </w:r>
      <w:r w:rsidRPr="00C3062F">
        <w:rPr>
          <w:rFonts w:ascii="Times New Roman" w:eastAsia="Times New Roman" w:hAnsi="Times New Roman"/>
          <w:color w:val="0D0D0D"/>
          <w:sz w:val="20"/>
        </w:rPr>
        <w:t>l</w:t>
      </w:r>
      <w:r w:rsidRPr="00C3062F">
        <w:rPr>
          <w:rFonts w:ascii="Times New Roman" w:eastAsia="Times New Roman" w:hAnsi="Times New Roman"/>
          <w:color w:val="2D2D2D"/>
          <w:sz w:val="20"/>
        </w:rPr>
        <w:t xml:space="preserve">ogía </w:t>
      </w:r>
      <w:proofErr w:type="spellStart"/>
      <w:r w:rsidRPr="00C3062F">
        <w:rPr>
          <w:rFonts w:ascii="Times New Roman" w:eastAsia="Times New Roman" w:hAnsi="Times New Roman"/>
          <w:color w:val="2D2D2D"/>
          <w:sz w:val="20"/>
        </w:rPr>
        <w:t>pretransiciona</w:t>
      </w:r>
      <w:r w:rsidRPr="00C3062F">
        <w:rPr>
          <w:rFonts w:ascii="Times New Roman" w:eastAsia="Times New Roman" w:hAnsi="Times New Roman"/>
          <w:color w:val="0D0D0D"/>
          <w:sz w:val="20"/>
        </w:rPr>
        <w:t>l</w:t>
      </w:r>
      <w:proofErr w:type="spellEnd"/>
      <w:r w:rsidRPr="00C3062F">
        <w:rPr>
          <w:rFonts w:ascii="Times New Roman" w:eastAsia="Times New Roman" w:hAnsi="Times New Roman"/>
          <w:color w:val="0D0D0D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3C3C3C"/>
          <w:sz w:val="20"/>
        </w:rPr>
        <w:t>c</w:t>
      </w:r>
      <w:r w:rsidRPr="00C3062F">
        <w:rPr>
          <w:rFonts w:ascii="Times New Roman" w:eastAsia="Times New Roman" w:hAnsi="Times New Roman"/>
          <w:color w:val="0D0D0D"/>
          <w:sz w:val="20"/>
        </w:rPr>
        <w:t>l</w:t>
      </w:r>
      <w:r w:rsidRPr="00C3062F">
        <w:rPr>
          <w:rFonts w:ascii="Times New Roman" w:eastAsia="Times New Roman" w:hAnsi="Times New Roman"/>
          <w:color w:val="515151"/>
          <w:sz w:val="20"/>
        </w:rPr>
        <w:t>ás</w:t>
      </w:r>
      <w:r w:rsidRPr="00C3062F">
        <w:rPr>
          <w:rFonts w:ascii="Times New Roman" w:eastAsia="Times New Roman" w:hAnsi="Times New Roman"/>
          <w:color w:val="1D1D1D"/>
          <w:sz w:val="20"/>
        </w:rPr>
        <w:t>i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ca </w:t>
      </w:r>
      <w:r w:rsidRPr="00C3062F">
        <w:rPr>
          <w:rFonts w:ascii="Times New Roman" w:eastAsia="Times New Roman" w:hAnsi="Times New Roman"/>
          <w:color w:val="000000"/>
          <w:sz w:val="20"/>
        </w:rPr>
        <w:t>–</w:t>
      </w:r>
      <w:r w:rsidRPr="00C3062F">
        <w:rPr>
          <w:rFonts w:ascii="Times New Roman" w:eastAsia="Times New Roman" w:hAnsi="Times New Roman"/>
          <w:color w:val="3C3C3C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101010"/>
          <w:sz w:val="20"/>
        </w:rPr>
        <w:t>p</w:t>
      </w:r>
      <w:r w:rsidRPr="00C3062F">
        <w:rPr>
          <w:rFonts w:ascii="Times New Roman" w:eastAsia="Times New Roman" w:hAnsi="Times New Roman"/>
          <w:color w:val="414141"/>
          <w:sz w:val="20"/>
        </w:rPr>
        <w:t>a</w:t>
      </w:r>
      <w:r w:rsidRPr="00C3062F">
        <w:rPr>
          <w:rFonts w:ascii="Times New Roman" w:eastAsia="Times New Roman" w:hAnsi="Times New Roman"/>
          <w:color w:val="1F1F1F"/>
          <w:sz w:val="20"/>
        </w:rPr>
        <w:t>ludi</w:t>
      </w:r>
      <w:r w:rsidRPr="00C3062F">
        <w:rPr>
          <w:rFonts w:ascii="Times New Roman" w:eastAsia="Times New Roman" w:hAnsi="Times New Roman"/>
          <w:color w:val="414141"/>
          <w:sz w:val="20"/>
        </w:rPr>
        <w:t xml:space="preserve">smo, </w:t>
      </w:r>
      <w:r w:rsidRPr="00C3062F">
        <w:rPr>
          <w:rFonts w:ascii="Times New Roman" w:eastAsia="Times New Roman" w:hAnsi="Times New Roman"/>
          <w:color w:val="101010"/>
          <w:sz w:val="20"/>
        </w:rPr>
        <w:t>tu</w:t>
      </w:r>
      <w:r w:rsidRPr="00C3062F">
        <w:rPr>
          <w:rFonts w:ascii="Times New Roman" w:eastAsia="Times New Roman" w:hAnsi="Times New Roman"/>
          <w:color w:val="2F2F2F"/>
          <w:sz w:val="20"/>
        </w:rPr>
        <w:t>berc</w:t>
      </w:r>
      <w:r w:rsidRPr="00C3062F">
        <w:rPr>
          <w:rFonts w:ascii="Times New Roman" w:eastAsia="Times New Roman" w:hAnsi="Times New Roman"/>
          <w:color w:val="101010"/>
          <w:sz w:val="20"/>
        </w:rPr>
        <w:t>ul</w:t>
      </w:r>
      <w:r w:rsidRPr="00C3062F">
        <w:rPr>
          <w:rFonts w:ascii="Times New Roman" w:eastAsia="Times New Roman" w:hAnsi="Times New Roman"/>
          <w:color w:val="2F2F2F"/>
          <w:sz w:val="20"/>
        </w:rPr>
        <w:t>os</w:t>
      </w:r>
      <w:r w:rsidRPr="00C3062F">
        <w:rPr>
          <w:rFonts w:ascii="Times New Roman" w:eastAsia="Times New Roman" w:hAnsi="Times New Roman"/>
          <w:color w:val="101010"/>
          <w:sz w:val="20"/>
        </w:rPr>
        <w:t>i</w:t>
      </w:r>
      <w:r w:rsidRPr="00C3062F">
        <w:rPr>
          <w:rFonts w:ascii="Times New Roman" w:eastAsia="Times New Roman" w:hAnsi="Times New Roman"/>
          <w:color w:val="414141"/>
          <w:sz w:val="20"/>
        </w:rPr>
        <w:t>s, c</w:t>
      </w:r>
      <w:r w:rsidRPr="00C3062F">
        <w:rPr>
          <w:rFonts w:ascii="Times New Roman" w:eastAsia="Times New Roman" w:hAnsi="Times New Roman"/>
          <w:color w:val="2F2F2F"/>
          <w:sz w:val="20"/>
        </w:rPr>
        <w:t xml:space="preserve">isticercosis e infecciones </w:t>
      </w:r>
      <w:r w:rsidRPr="00C3062F">
        <w:rPr>
          <w:rFonts w:ascii="Times New Roman" w:eastAsia="Times New Roman" w:hAnsi="Times New Roman"/>
          <w:color w:val="414141"/>
          <w:sz w:val="20"/>
        </w:rPr>
        <w:t>comunes (p</w:t>
      </w:r>
      <w:r w:rsidRPr="00C3062F">
        <w:rPr>
          <w:rFonts w:ascii="Times New Roman" w:eastAsia="Times New Roman" w:hAnsi="Times New Roman"/>
          <w:color w:val="5A5A5A"/>
          <w:sz w:val="20"/>
        </w:rPr>
        <w:t xml:space="preserve">. </w:t>
      </w:r>
      <w:r w:rsidRPr="00C3062F">
        <w:rPr>
          <w:rFonts w:ascii="Times New Roman" w:eastAsia="Times New Roman" w:hAnsi="Times New Roman"/>
          <w:color w:val="414141"/>
          <w:sz w:val="20"/>
        </w:rPr>
        <w:t xml:space="preserve">ej. </w:t>
      </w:r>
      <w:r w:rsidRPr="00C3062F">
        <w:rPr>
          <w:rFonts w:ascii="Times New Roman" w:eastAsia="Times New Roman" w:hAnsi="Times New Roman"/>
          <w:color w:val="1F1F1F"/>
          <w:sz w:val="20"/>
        </w:rPr>
        <w:t>i</w:t>
      </w:r>
      <w:r w:rsidRPr="00C3062F">
        <w:rPr>
          <w:rFonts w:ascii="Times New Roman" w:eastAsia="Times New Roman" w:hAnsi="Times New Roman"/>
          <w:color w:val="414141"/>
          <w:sz w:val="20"/>
        </w:rPr>
        <w:t>nf</w:t>
      </w:r>
      <w:r w:rsidRPr="00C3062F">
        <w:rPr>
          <w:rFonts w:ascii="Times New Roman" w:eastAsia="Times New Roman" w:hAnsi="Times New Roman"/>
          <w:color w:val="101010"/>
          <w:sz w:val="20"/>
        </w:rPr>
        <w:t>l</w:t>
      </w:r>
      <w:r w:rsidRPr="00C3062F">
        <w:rPr>
          <w:rFonts w:ascii="Times New Roman" w:eastAsia="Times New Roman" w:hAnsi="Times New Roman"/>
          <w:color w:val="2F2F2F"/>
          <w:sz w:val="20"/>
        </w:rPr>
        <w:t>uenza)</w:t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– </w:t>
      </w:r>
      <w:r w:rsidRPr="00C3062F">
        <w:rPr>
          <w:rFonts w:ascii="Times New Roman" w:eastAsia="Times New Roman" w:hAnsi="Times New Roman"/>
          <w:color w:val="3C3C3C"/>
          <w:sz w:val="20"/>
        </w:rPr>
        <w:t>(</w:t>
      </w:r>
      <w:r w:rsidRPr="00C3062F">
        <w:rPr>
          <w:rFonts w:ascii="Times New Roman" w:eastAsia="Times New Roman" w:hAnsi="Times New Roman"/>
          <w:color w:val="121212"/>
          <w:sz w:val="20"/>
        </w:rPr>
        <w:t>Sepúlveda y Gómez, 1997).</w:t>
      </w:r>
    </w:p>
  </w:footnote>
  <w:footnote w:id="10">
    <w:p w:rsidR="00CF6B1C" w:rsidRPr="00C3062F" w:rsidRDefault="000D6ECF" w:rsidP="00C306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C3062F">
        <w:rPr>
          <w:rFonts w:ascii="Times New Roman" w:hAnsi="Times New Roman"/>
          <w:sz w:val="20"/>
          <w:vertAlign w:val="superscript"/>
        </w:rPr>
        <w:footnoteRef/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</w:t>
      </w:r>
      <w:proofErr w:type="spellStart"/>
      <w:proofErr w:type="gramStart"/>
      <w:r w:rsidRPr="00C3062F">
        <w:rPr>
          <w:rFonts w:ascii="Times New Roman" w:eastAsia="Times New Roman" w:hAnsi="Times New Roman"/>
          <w:color w:val="000000"/>
          <w:sz w:val="20"/>
        </w:rPr>
        <w:t>Olshansky</w:t>
      </w:r>
      <w:proofErr w:type="spellEnd"/>
      <w:r w:rsidRPr="00C3062F">
        <w:rPr>
          <w:rFonts w:ascii="Times New Roman" w:eastAsia="Times New Roman" w:hAnsi="Times New Roman"/>
          <w:color w:val="000000"/>
          <w:sz w:val="20"/>
        </w:rPr>
        <w:t xml:space="preserve"> ,</w:t>
      </w:r>
      <w:proofErr w:type="gramEnd"/>
      <w:r w:rsidRPr="00C3062F">
        <w:rPr>
          <w:rFonts w:ascii="Times New Roman" w:eastAsia="Times New Roman" w:hAnsi="Times New Roman"/>
          <w:color w:val="000000"/>
          <w:sz w:val="20"/>
        </w:rPr>
        <w:t xml:space="preserve"> et al. (1998), adicionaron dos etapas a la transición epidemiológica. El retraso en las edades en que las enfermedades </w:t>
      </w:r>
      <w:r w:rsidR="00D638B6" w:rsidRPr="00C3062F">
        <w:rPr>
          <w:rFonts w:ascii="Times New Roman" w:eastAsia="Times New Roman" w:hAnsi="Times New Roman"/>
          <w:color w:val="000000"/>
          <w:sz w:val="20"/>
        </w:rPr>
        <w:t>degenerativas</w:t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causan la muerte y la reemergencia de enfermedades infecciosas</w:t>
      </w:r>
      <w:r w:rsidR="000B6259" w:rsidRPr="00C3062F">
        <w:rPr>
          <w:rFonts w:ascii="Times New Roman" w:eastAsia="Times New Roman" w:hAnsi="Times New Roman"/>
          <w:color w:val="000000"/>
          <w:sz w:val="20"/>
        </w:rPr>
        <w:t>.</w:t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</w:t>
      </w:r>
    </w:p>
  </w:footnote>
  <w:footnote w:id="11">
    <w:p w:rsidR="00CF6B1C" w:rsidRPr="00C3062F" w:rsidRDefault="000D6ECF" w:rsidP="00C3062F">
      <w:pPr>
        <w:spacing w:after="0" w:line="360" w:lineRule="auto"/>
        <w:jc w:val="both"/>
        <w:rPr>
          <w:rFonts w:ascii="Times New Roman" w:hAnsi="Times New Roman"/>
          <w:color w:val="222222"/>
          <w:sz w:val="20"/>
          <w:shd w:val="clear" w:color="auto" w:fill="FFFFFF"/>
        </w:rPr>
      </w:pPr>
      <w:r w:rsidRPr="00C3062F">
        <w:rPr>
          <w:rFonts w:ascii="Times New Roman" w:hAnsi="Times New Roman"/>
          <w:sz w:val="20"/>
          <w:vertAlign w:val="superscript"/>
        </w:rPr>
        <w:footnoteRef/>
      </w:r>
      <w:r w:rsidRPr="00C3062F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La </w:t>
      </w:r>
      <w:r w:rsidRPr="00C3062F">
        <w:rPr>
          <w:rFonts w:ascii="Times New Roman" w:eastAsia="Times New Roman" w:hAnsi="Times New Roman"/>
          <w:color w:val="313131"/>
          <w:sz w:val="20"/>
        </w:rPr>
        <w:t>ta</w:t>
      </w:r>
      <w:r w:rsidRPr="00C3062F">
        <w:rPr>
          <w:rFonts w:ascii="Times New Roman" w:eastAsia="Times New Roman" w:hAnsi="Times New Roman"/>
          <w:color w:val="4B4B4B"/>
          <w:sz w:val="20"/>
        </w:rPr>
        <w:t>s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a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de mortalidad por </w:t>
      </w:r>
      <w:r w:rsidRPr="00C3062F">
        <w:rPr>
          <w:rFonts w:ascii="Times New Roman" w:eastAsia="Times New Roman" w:hAnsi="Times New Roman"/>
          <w:color w:val="050505"/>
          <w:sz w:val="20"/>
        </w:rPr>
        <w:t>inf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ecciones </w:t>
      </w:r>
      <w:r w:rsidRPr="00C3062F">
        <w:rPr>
          <w:rFonts w:ascii="Times New Roman" w:eastAsia="Times New Roman" w:hAnsi="Times New Roman"/>
          <w:color w:val="191919"/>
          <w:sz w:val="20"/>
        </w:rPr>
        <w:t>respiratoria</w:t>
      </w:r>
      <w:r w:rsidRPr="00C3062F">
        <w:rPr>
          <w:rFonts w:ascii="Times New Roman" w:eastAsia="Times New Roman" w:hAnsi="Times New Roman"/>
          <w:color w:val="4B4B4B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313131"/>
          <w:sz w:val="20"/>
        </w:rPr>
        <w:t>agu</w:t>
      </w:r>
      <w:r w:rsidRPr="00C3062F">
        <w:rPr>
          <w:rFonts w:ascii="Times New Roman" w:eastAsia="Times New Roman" w:hAnsi="Times New Roman"/>
          <w:color w:val="191919"/>
          <w:sz w:val="20"/>
        </w:rPr>
        <w:t>da</w:t>
      </w:r>
      <w:r w:rsidRPr="00C3062F">
        <w:rPr>
          <w:rFonts w:ascii="Times New Roman" w:eastAsia="Times New Roman" w:hAnsi="Times New Roman"/>
          <w:color w:val="4B4B4B"/>
          <w:sz w:val="20"/>
        </w:rPr>
        <w:t xml:space="preserve">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en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menores de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cinco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años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se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relaciona con </w:t>
      </w:r>
      <w:r w:rsidRPr="00C3062F">
        <w:rPr>
          <w:rFonts w:ascii="Times New Roman" w:eastAsia="Times New Roman" w:hAnsi="Times New Roman"/>
          <w:color w:val="050505"/>
          <w:sz w:val="20"/>
        </w:rPr>
        <w:t xml:space="preserve">la </w:t>
      </w:r>
      <w:r w:rsidRPr="00C3062F">
        <w:rPr>
          <w:rFonts w:ascii="Times New Roman" w:eastAsia="Times New Roman" w:hAnsi="Times New Roman"/>
          <w:color w:val="191919"/>
          <w:sz w:val="20"/>
        </w:rPr>
        <w:t>pobre</w:t>
      </w:r>
      <w:r w:rsidRPr="00C3062F">
        <w:rPr>
          <w:rFonts w:ascii="Times New Roman" w:eastAsia="Times New Roman" w:hAnsi="Times New Roman"/>
          <w:color w:val="4B4B4B"/>
          <w:sz w:val="20"/>
        </w:rPr>
        <w:t>z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a,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la exposición a ambientes poco saludables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y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la falta de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acceso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a servicios de </w:t>
      </w:r>
      <w:r w:rsidRPr="00C3062F">
        <w:rPr>
          <w:rFonts w:ascii="Times New Roman" w:eastAsia="Times New Roman" w:hAnsi="Times New Roman"/>
          <w:color w:val="050505"/>
          <w:sz w:val="20"/>
        </w:rPr>
        <w:t xml:space="preserve">salud, </w:t>
      </w:r>
      <w:r w:rsidRPr="00C3062F">
        <w:rPr>
          <w:rFonts w:ascii="Times New Roman" w:eastAsia="Times New Roman" w:hAnsi="Times New Roman"/>
          <w:color w:val="191919"/>
          <w:sz w:val="20"/>
        </w:rPr>
        <w:t xml:space="preserve">tanto preventivos 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como </w:t>
      </w:r>
      <w:r w:rsidRPr="00C3062F">
        <w:rPr>
          <w:rFonts w:ascii="Times New Roman" w:eastAsia="Times New Roman" w:hAnsi="Times New Roman"/>
          <w:color w:val="050505"/>
          <w:sz w:val="20"/>
        </w:rPr>
        <w:t>correctiv</w:t>
      </w:r>
      <w:r w:rsidRPr="00C3062F">
        <w:rPr>
          <w:rFonts w:ascii="Times New Roman" w:eastAsia="Times New Roman" w:hAnsi="Times New Roman"/>
          <w:color w:val="313131"/>
          <w:sz w:val="20"/>
        </w:rPr>
        <w:t xml:space="preserve">os </w:t>
      </w:r>
      <w:r w:rsidRPr="00C3062F">
        <w:rPr>
          <w:rFonts w:ascii="Times New Roman" w:eastAsia="Times New Roman" w:hAnsi="Times New Roman"/>
          <w:color w:val="000000"/>
          <w:sz w:val="20"/>
        </w:rPr>
        <w:t>(Carranza Rodríguez, et al., 2003).</w:t>
      </w:r>
      <w:r w:rsidR="00D638B6" w:rsidRPr="00C3062F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D638B6" w:rsidRPr="00C3062F">
        <w:rPr>
          <w:rFonts w:ascii="Times New Roman" w:hAnsi="Times New Roman"/>
          <w:color w:val="151616"/>
          <w:sz w:val="20"/>
        </w:rPr>
        <w:t>A pesar de los éxitos en salud alcanzados durante las últimas décadas poblaciones más vulnerables las que siguen muriendo de enfermedades infecciosas evitables, acompañadas de una gran carga de malnutrición - desnutrición y obesidad- a la cual se suma la pobreza, o más bien: la desigualdad. (Cañete, et al., 2016)</w:t>
      </w:r>
      <w:r w:rsidR="00D638B6" w:rsidRPr="00C3062F">
        <w:rPr>
          <w:rFonts w:ascii="Times New Roman" w:hAnsi="Times New Roman"/>
          <w:color w:val="222222"/>
          <w:sz w:val="20"/>
          <w:shd w:val="clear" w:color="auto" w:fill="FFFFFF"/>
        </w:rPr>
        <w:t>.</w:t>
      </w:r>
    </w:p>
  </w:footnote>
  <w:footnote w:id="12">
    <w:p w:rsidR="005C6AD0" w:rsidRPr="00C3062F" w:rsidRDefault="005C6AD0" w:rsidP="00DA7BA4">
      <w:pPr>
        <w:spacing w:after="0" w:line="360" w:lineRule="auto"/>
        <w:jc w:val="both"/>
        <w:rPr>
          <w:rFonts w:ascii="Times New Roman" w:eastAsiaTheme="minorHAnsi" w:hAnsi="Times New Roman"/>
          <w:color w:val="151616"/>
          <w:sz w:val="20"/>
        </w:rPr>
      </w:pPr>
      <w:r w:rsidRPr="00C3062F">
        <w:rPr>
          <w:rStyle w:val="Refdenotaalpie"/>
          <w:rFonts w:ascii="Times New Roman" w:hAnsi="Times New Roman"/>
          <w:sz w:val="20"/>
        </w:rPr>
        <w:footnoteRef/>
      </w:r>
      <w:r w:rsidRPr="00C3062F">
        <w:rPr>
          <w:rFonts w:ascii="Times New Roman" w:hAnsi="Times New Roman"/>
          <w:sz w:val="20"/>
        </w:rPr>
        <w:t xml:space="preserve"> </w:t>
      </w:r>
      <w:r w:rsidR="00DA7BA4" w:rsidRPr="00C3062F">
        <w:rPr>
          <w:rFonts w:ascii="Times New Roman" w:hAnsi="Times New Roman"/>
          <w:color w:val="151616"/>
          <w:sz w:val="20"/>
        </w:rPr>
        <w:t xml:space="preserve">Factores ambientales como la contaminación, el calentamiento global, la deforestación </w:t>
      </w:r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(</w:t>
      </w:r>
      <w:proofErr w:type="spellStart"/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Sequera</w:t>
      </w:r>
      <w:proofErr w:type="spellEnd"/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, 2019)</w:t>
      </w:r>
      <w:r w:rsidR="00DA7BA4" w:rsidRPr="00C3062F">
        <w:rPr>
          <w:rFonts w:ascii="Times New Roman" w:hAnsi="Times New Roman"/>
          <w:color w:val="151616"/>
          <w:sz w:val="20"/>
        </w:rPr>
        <w:t xml:space="preserve">, generan </w:t>
      </w:r>
      <w:r w:rsidR="00DA7BA4" w:rsidRPr="00C3062F">
        <w:rPr>
          <w:rFonts w:ascii="Times New Roman" w:eastAsia="Times New Roman" w:hAnsi="Times New Roman"/>
          <w:color w:val="000000"/>
          <w:sz w:val="20"/>
        </w:rPr>
        <w:t xml:space="preserve">condiciones ambientales precarias que propician la mutación y expansión de los virus, y producen </w:t>
      </w:r>
      <w:r w:rsidR="00DA7BA4" w:rsidRPr="00C3062F">
        <w:rPr>
          <w:rFonts w:ascii="Times New Roman" w:hAnsi="Times New Roman"/>
          <w:color w:val="151616"/>
          <w:sz w:val="20"/>
        </w:rPr>
        <w:t>más enfermedades</w:t>
      </w:r>
      <w:r w:rsidR="00DA7BA4" w:rsidRPr="00C3062F">
        <w:rPr>
          <w:rFonts w:ascii="Times New Roman" w:eastAsia="Times New Roman" w:hAnsi="Times New Roman"/>
          <w:color w:val="000000"/>
          <w:sz w:val="20"/>
        </w:rPr>
        <w:t xml:space="preserve"> (Correa, 2020).</w:t>
      </w:r>
    </w:p>
  </w:footnote>
  <w:footnote w:id="13">
    <w:p w:rsidR="005C6AD0" w:rsidRPr="00DA7BA4" w:rsidRDefault="005C6AD0" w:rsidP="00DA7BA4">
      <w:pPr>
        <w:spacing w:after="0" w:line="360" w:lineRule="auto"/>
        <w:jc w:val="both"/>
        <w:rPr>
          <w:rFonts w:ascii="Times New Roman" w:hAnsi="Times New Roman"/>
          <w:color w:val="151616"/>
          <w:sz w:val="20"/>
        </w:rPr>
      </w:pPr>
      <w:r w:rsidRPr="00C3062F">
        <w:rPr>
          <w:rStyle w:val="Refdenotaalpie"/>
          <w:rFonts w:ascii="Times New Roman" w:hAnsi="Times New Roman"/>
          <w:sz w:val="20"/>
        </w:rPr>
        <w:footnoteRef/>
      </w:r>
      <w:r w:rsidRPr="00C3062F">
        <w:rPr>
          <w:rFonts w:ascii="Times New Roman" w:hAnsi="Times New Roman"/>
          <w:sz w:val="20"/>
        </w:rPr>
        <w:t xml:space="preserve"> </w:t>
      </w:r>
      <w:r w:rsidR="00DA7BA4" w:rsidRPr="00C3062F">
        <w:rPr>
          <w:rFonts w:ascii="Times New Roman" w:hAnsi="Times New Roman"/>
          <w:color w:val="151616"/>
          <w:sz w:val="20"/>
        </w:rPr>
        <w:t xml:space="preserve">La mayor movilidad global de personas y con ellos la difusión de microorganismos típicos de algunas regiones, a otras donde jamás circularon </w:t>
      </w:r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(</w:t>
      </w:r>
      <w:proofErr w:type="spellStart"/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Sequera</w:t>
      </w:r>
      <w:proofErr w:type="spellEnd"/>
      <w:r w:rsidR="00DA7BA4" w:rsidRPr="00C3062F">
        <w:rPr>
          <w:rFonts w:ascii="Times New Roman" w:hAnsi="Times New Roman"/>
          <w:color w:val="222222"/>
          <w:sz w:val="20"/>
          <w:shd w:val="clear" w:color="auto" w:fill="FFFFFF"/>
        </w:rPr>
        <w:t>, 2019)</w:t>
      </w:r>
      <w:r w:rsidR="00DA7BA4" w:rsidRPr="00C3062F">
        <w:rPr>
          <w:rFonts w:ascii="Times New Roman" w:hAnsi="Times New Roman"/>
          <w:color w:val="151616"/>
          <w:sz w:val="20"/>
        </w:rPr>
        <w:t>. Así como también cambios culturales en la forma de alimentarnos y en el nivel de consumo en la actualidad (Min, et al., 2018).</w:t>
      </w:r>
    </w:p>
  </w:footnote>
  <w:footnote w:id="14">
    <w:p w:rsidR="00DA7BA4" w:rsidRPr="00DA7BA4" w:rsidRDefault="00DA7BA4" w:rsidP="00DA7BA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DA7BA4">
        <w:rPr>
          <w:rStyle w:val="Refdenotaalpie"/>
          <w:rFonts w:ascii="Times New Roman" w:hAnsi="Times New Roman"/>
          <w:sz w:val="20"/>
        </w:rPr>
        <w:footnoteRef/>
      </w:r>
      <w:r w:rsidRPr="00DA7BA4">
        <w:rPr>
          <w:rFonts w:ascii="Times New Roman" w:hAnsi="Times New Roman"/>
          <w:sz w:val="20"/>
        </w:rPr>
        <w:t xml:space="preserve"> </w:t>
      </w:r>
      <w:r w:rsidRPr="00DA7BA4">
        <w:rPr>
          <w:rFonts w:ascii="Times New Roman" w:eastAsia="Times New Roman" w:hAnsi="Times New Roman"/>
          <w:color w:val="000000"/>
          <w:sz w:val="20"/>
        </w:rPr>
        <w:t>Los virus respiratorios fueron descubiertos progresivamente a partir de 1950. Los últimos fueron los</w:t>
      </w:r>
      <w:r w:rsidRPr="00DA7BA4">
        <w:rPr>
          <w:rFonts w:ascii="Times New Roman" w:eastAsia="Times New Roman" w:hAnsi="Times New Roman"/>
          <w:color w:val="000000"/>
          <w:sz w:val="20"/>
        </w:rPr>
        <w:br/>
        <w:t>coronavirus en la década de los años sesenta. En noviembre de 2002, apareció el síndrome respiratorio</w:t>
      </w:r>
      <w:r w:rsidRPr="00DA7BA4">
        <w:rPr>
          <w:rFonts w:ascii="Times New Roman" w:eastAsia="Times New Roman" w:hAnsi="Times New Roman"/>
          <w:color w:val="000000"/>
          <w:sz w:val="20"/>
        </w:rPr>
        <w:br/>
        <w:t>agudo grave (SARS) definido como una neumonía atípica, al que se asoció un nuevo virus perteneciente a</w:t>
      </w:r>
      <w:r w:rsidRPr="00DA7BA4">
        <w:rPr>
          <w:rFonts w:ascii="Times New Roman" w:eastAsia="Times New Roman" w:hAnsi="Times New Roman"/>
          <w:color w:val="000000"/>
          <w:sz w:val="20"/>
        </w:rPr>
        <w:br/>
        <w:t>la familia de los coronavirus (Casas y Pozo, 2005)</w:t>
      </w:r>
    </w:p>
  </w:footnote>
  <w:footnote w:id="15">
    <w:p w:rsidR="000B6259" w:rsidRDefault="000B6259" w:rsidP="00DA7BA4">
      <w:pPr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 w:rsidRPr="00DA7BA4">
        <w:rPr>
          <w:rFonts w:ascii="Times New Roman" w:hAnsi="Times New Roman"/>
          <w:sz w:val="20"/>
          <w:vertAlign w:val="superscript"/>
        </w:rPr>
        <w:footnoteRef/>
      </w:r>
      <w:r w:rsidRPr="00DA7BA4">
        <w:rPr>
          <w:rFonts w:ascii="Times New Roman" w:eastAsia="Times New Roman" w:hAnsi="Times New Roman"/>
          <w:sz w:val="20"/>
        </w:rPr>
        <w:t xml:space="preserve"> </w:t>
      </w:r>
      <w:r w:rsidR="00DA7BA4" w:rsidRPr="00DA7BA4">
        <w:rPr>
          <w:rFonts w:ascii="Times New Roman" w:eastAsia="Times New Roman" w:hAnsi="Times New Roman"/>
          <w:sz w:val="20"/>
        </w:rPr>
        <w:t>Es una incógnita</w:t>
      </w:r>
      <w:r w:rsidR="00DA7BA4" w:rsidRPr="00DA7BA4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DA7BA4" w:rsidRPr="00DA7BA4">
        <w:rPr>
          <w:rFonts w:ascii="Times New Roman" w:eastAsia="Times New Roman" w:hAnsi="Times New Roman"/>
          <w:sz w:val="20"/>
        </w:rPr>
        <w:t>cómo</w:t>
      </w:r>
      <w:r w:rsidR="00DA7BA4" w:rsidRPr="00DA7BA4">
        <w:rPr>
          <w:rFonts w:ascii="Times New Roman" w:eastAsia="Times New Roman" w:hAnsi="Times New Roman"/>
          <w:color w:val="000000"/>
          <w:sz w:val="20"/>
        </w:rPr>
        <w:t xml:space="preserve"> y </w:t>
      </w:r>
      <w:r w:rsidR="00DA7BA4" w:rsidRPr="00DA7BA4">
        <w:rPr>
          <w:rFonts w:ascii="Times New Roman" w:eastAsia="Times New Roman" w:hAnsi="Times New Roman"/>
          <w:sz w:val="20"/>
        </w:rPr>
        <w:t>cuándo</w:t>
      </w:r>
      <w:r w:rsidR="00DA7BA4" w:rsidRPr="00DA7BA4">
        <w:rPr>
          <w:rFonts w:ascii="Times New Roman" w:eastAsia="Times New Roman" w:hAnsi="Times New Roman"/>
          <w:color w:val="000000"/>
          <w:sz w:val="20"/>
        </w:rPr>
        <w:t xml:space="preserve"> podría darse una zoonosis vírica -el salto de un virus desde su reservorio natural a los humanos-</w:t>
      </w:r>
      <w:r w:rsidR="00DA7BA4" w:rsidRPr="00DA7BA4">
        <w:rPr>
          <w:rFonts w:ascii="Times New Roman" w:eastAsia="Times New Roman" w:hAnsi="Times New Roman"/>
          <w:sz w:val="20"/>
        </w:rPr>
        <w:t xml:space="preserve"> (</w:t>
      </w:r>
      <w:proofErr w:type="spellStart"/>
      <w:r w:rsidR="00DA7BA4" w:rsidRPr="00DA7BA4">
        <w:rPr>
          <w:rFonts w:ascii="Times New Roman" w:eastAsia="Times New Roman" w:hAnsi="Times New Roman"/>
          <w:sz w:val="20"/>
        </w:rPr>
        <w:t>Ludert</w:t>
      </w:r>
      <w:proofErr w:type="spellEnd"/>
      <w:r w:rsidR="00DA7BA4" w:rsidRPr="00DA7BA4">
        <w:rPr>
          <w:rFonts w:ascii="Times New Roman" w:eastAsia="Times New Roman" w:hAnsi="Times New Roman"/>
          <w:sz w:val="20"/>
        </w:rPr>
        <w:t xml:space="preserve"> y Franco Cortés 2020). Sobre el cual se vino especulando en la literatura científica, dado su conocido vínculo con el cambio climático (Vega Aragón, 2009).</w:t>
      </w:r>
    </w:p>
  </w:footnote>
  <w:footnote w:id="16">
    <w:p w:rsidR="000B6259" w:rsidRPr="003B5A7A" w:rsidRDefault="000B6259" w:rsidP="00CB6D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 w:rsidRPr="009D4097">
        <w:rPr>
          <w:rFonts w:ascii="Times New Roman" w:hAnsi="Times New Roman"/>
          <w:sz w:val="20"/>
          <w:vertAlign w:val="superscript"/>
        </w:rPr>
        <w:footnoteRef/>
      </w:r>
      <w:r w:rsidRPr="009D4097">
        <w:rPr>
          <w:rFonts w:ascii="Times New Roman" w:eastAsia="Times New Roman" w:hAnsi="Times New Roman"/>
          <w:sz w:val="20"/>
        </w:rPr>
        <w:t xml:space="preserve"> </w:t>
      </w:r>
      <w:r w:rsidR="00CB6D9F" w:rsidRPr="009D4097">
        <w:rPr>
          <w:rFonts w:ascii="Times New Roman" w:eastAsia="Times New Roman" w:hAnsi="Times New Roman"/>
          <w:sz w:val="20"/>
        </w:rPr>
        <w:t>E</w:t>
      </w:r>
      <w:r w:rsidR="00CB6D9F" w:rsidRPr="009D4097">
        <w:rPr>
          <w:rFonts w:ascii="Times New Roman" w:eastAsia="Times New Roman" w:hAnsi="Times New Roman"/>
          <w:color w:val="242021"/>
          <w:sz w:val="20"/>
        </w:rPr>
        <w:t>l nivel de desarrollo tecnológico y de las ciencias biomédica  alcanzado (</w:t>
      </w:r>
      <w:r w:rsidR="00CB6D9F">
        <w:rPr>
          <w:rFonts w:ascii="Times New Roman" w:eastAsia="Times New Roman" w:hAnsi="Times New Roman"/>
          <w:color w:val="222222"/>
          <w:sz w:val="20"/>
        </w:rPr>
        <w:t>Álvarez, 2020), generaban</w:t>
      </w:r>
      <w:r w:rsidR="00CB6D9F" w:rsidRPr="009D4097">
        <w:rPr>
          <w:rFonts w:ascii="Times New Roman" w:eastAsia="Times New Roman" w:hAnsi="Times New Roman"/>
          <w:color w:val="222222"/>
          <w:sz w:val="20"/>
        </w:rPr>
        <w:t xml:space="preserve"> la percepción que </w:t>
      </w:r>
      <w:r w:rsidR="00CB6D9F" w:rsidRPr="009D4097">
        <w:rPr>
          <w:rFonts w:ascii="Times New Roman" w:eastAsia="Times New Roman" w:hAnsi="Times New Roman"/>
          <w:color w:val="000000"/>
          <w:sz w:val="20"/>
        </w:rPr>
        <w:t xml:space="preserve">las pandemias y/o epidemias eran cosas del pasado. Previamente brotes de virus similares SARS (2002) y MERS (2012) habían sido contenidos eficazmente. El cuadro epidemiológico que </w:t>
      </w:r>
      <w:r w:rsidR="00CB6D9F" w:rsidRPr="003B5A7A">
        <w:rPr>
          <w:rFonts w:ascii="Times New Roman" w:eastAsia="Times New Roman" w:hAnsi="Times New Roman"/>
          <w:color w:val="000000"/>
          <w:sz w:val="20"/>
        </w:rPr>
        <w:t>transcurría en China se veía muy lejana,  así como improbable que se produjera una crisis sanitaria como la  que estamos enfrentando.</w:t>
      </w:r>
    </w:p>
  </w:footnote>
  <w:footnote w:id="17">
    <w:p w:rsidR="00DA7BA4" w:rsidRPr="00202DCD" w:rsidRDefault="000D6ECF" w:rsidP="00CB6D9F">
      <w:pPr>
        <w:spacing w:after="0" w:line="360" w:lineRule="auto"/>
        <w:jc w:val="both"/>
        <w:rPr>
          <w:rFonts w:ascii="Times New Roman" w:eastAsia="Times New Roman" w:hAnsi="Times New Roman"/>
          <w:color w:val="231F20"/>
          <w:sz w:val="20"/>
        </w:rPr>
      </w:pPr>
      <w:r w:rsidRPr="003B5A7A">
        <w:rPr>
          <w:rFonts w:ascii="Times New Roman" w:hAnsi="Times New Roman"/>
          <w:sz w:val="20"/>
          <w:vertAlign w:val="superscript"/>
        </w:rPr>
        <w:footnoteRef/>
      </w:r>
      <w:r w:rsidRPr="003B5A7A">
        <w:rPr>
          <w:rFonts w:ascii="Times New Roman" w:eastAsia="Times New Roman" w:hAnsi="Times New Roman"/>
          <w:sz w:val="20"/>
        </w:rPr>
        <w:t xml:space="preserve"> </w:t>
      </w:r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Alrededor del 60% de los patógenos emergentes o reemergentes tiene como origen común el reino animal </w:t>
      </w:r>
      <w:r w:rsidR="00DA7BA4" w:rsidRPr="003B5A7A">
        <w:rPr>
          <w:rFonts w:ascii="Times New Roman" w:eastAsia="Times New Roman" w:hAnsi="Times New Roman"/>
          <w:color w:val="000000"/>
          <w:sz w:val="20"/>
        </w:rPr>
        <w:t>–</w:t>
      </w:r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por ejemplo los virus 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Marbug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, 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Ébola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, 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Hendra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, 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Nipha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>, SARS-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CoV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>, MERS-</w:t>
      </w:r>
      <w:proofErr w:type="spellStart"/>
      <w:r w:rsidR="00DA7BA4" w:rsidRPr="003B5A7A">
        <w:rPr>
          <w:rFonts w:ascii="Times New Roman" w:eastAsia="Times New Roman" w:hAnsi="Times New Roman"/>
          <w:color w:val="231F20"/>
          <w:sz w:val="20"/>
        </w:rPr>
        <w:t>CoV</w:t>
      </w:r>
      <w:proofErr w:type="spellEnd"/>
      <w:r w:rsidR="00DA7BA4" w:rsidRPr="003B5A7A">
        <w:rPr>
          <w:rFonts w:ascii="Times New Roman" w:eastAsia="Times New Roman" w:hAnsi="Times New Roman"/>
          <w:color w:val="231F20"/>
          <w:sz w:val="20"/>
        </w:rPr>
        <w:t xml:space="preserve"> y ahora SARS-CoV-2</w:t>
      </w:r>
      <w:r w:rsidR="00DA7BA4" w:rsidRPr="003B5A7A">
        <w:rPr>
          <w:rFonts w:ascii="Times New Roman" w:eastAsia="Times New Roman" w:hAnsi="Times New Roman"/>
          <w:color w:val="000000"/>
          <w:sz w:val="20"/>
        </w:rPr>
        <w:t>–</w:t>
      </w:r>
      <w:r w:rsidR="00DA7BA4" w:rsidRPr="003B5A7A">
        <w:rPr>
          <w:rFonts w:ascii="Times New Roman" w:eastAsia="Times New Roman" w:hAnsi="Times New Roman"/>
          <w:color w:val="231F20"/>
          <w:sz w:val="20"/>
        </w:rPr>
        <w:t>.</w:t>
      </w:r>
      <w:r w:rsidR="00DA7BA4">
        <w:rPr>
          <w:rFonts w:ascii="Times New Roman" w:eastAsia="Times New Roman" w:hAnsi="Times New Roman"/>
          <w:color w:val="231F20"/>
          <w:sz w:val="20"/>
        </w:rPr>
        <w:t xml:space="preserve"> </w:t>
      </w:r>
    </w:p>
    <w:p w:rsidR="00CF6B1C" w:rsidRPr="009D4097" w:rsidRDefault="00CF6B1C" w:rsidP="00436AA9">
      <w:pPr>
        <w:spacing w:after="0" w:line="360" w:lineRule="auto"/>
        <w:jc w:val="both"/>
        <w:rPr>
          <w:rFonts w:ascii="Times New Roman" w:eastAsia="Times New Roman" w:hAnsi="Times New Roman"/>
          <w:color w:val="231F20"/>
          <w:sz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1C"/>
    <w:rsid w:val="000B6259"/>
    <w:rsid w:val="000D6ECF"/>
    <w:rsid w:val="00185296"/>
    <w:rsid w:val="0019164D"/>
    <w:rsid w:val="00342D4A"/>
    <w:rsid w:val="003B5A7A"/>
    <w:rsid w:val="00433FF8"/>
    <w:rsid w:val="00436AA9"/>
    <w:rsid w:val="004867F4"/>
    <w:rsid w:val="00572CD5"/>
    <w:rsid w:val="005C6AD0"/>
    <w:rsid w:val="005D578A"/>
    <w:rsid w:val="006654A3"/>
    <w:rsid w:val="00690225"/>
    <w:rsid w:val="007C799D"/>
    <w:rsid w:val="0088446D"/>
    <w:rsid w:val="00973F76"/>
    <w:rsid w:val="00985909"/>
    <w:rsid w:val="009B552F"/>
    <w:rsid w:val="009D4097"/>
    <w:rsid w:val="00A142C1"/>
    <w:rsid w:val="00AB0155"/>
    <w:rsid w:val="00B773D4"/>
    <w:rsid w:val="00BD1FEB"/>
    <w:rsid w:val="00C3062F"/>
    <w:rsid w:val="00C77032"/>
    <w:rsid w:val="00C82BE2"/>
    <w:rsid w:val="00CB5B8F"/>
    <w:rsid w:val="00CB6D9F"/>
    <w:rsid w:val="00CC7E7F"/>
    <w:rsid w:val="00CF6B1C"/>
    <w:rsid w:val="00D03E73"/>
    <w:rsid w:val="00D638B6"/>
    <w:rsid w:val="00DA7BA4"/>
    <w:rsid w:val="00DF0A52"/>
    <w:rsid w:val="00E05A46"/>
    <w:rsid w:val="00E211E7"/>
    <w:rsid w:val="00E2791F"/>
    <w:rsid w:val="00E70EDE"/>
    <w:rsid w:val="00ED7E15"/>
    <w:rsid w:val="00EE5CF2"/>
    <w:rsid w:val="00F5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D12EE"/>
    <w:rPr>
      <w:rFonts w:cs="Times New Roman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5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D900F7"/>
    <w:pPr>
      <w:widowControl w:val="0"/>
      <w:autoSpaceDE w:val="0"/>
      <w:autoSpaceDN w:val="0"/>
      <w:spacing w:after="0" w:line="240" w:lineRule="auto"/>
      <w:ind w:left="466"/>
      <w:outlineLvl w:val="1"/>
    </w:pPr>
    <w:rPr>
      <w:rFonts w:ascii="Times New Roman" w:eastAsia="Times New Roman" w:hAnsi="Times New Roman"/>
      <w:sz w:val="25"/>
      <w:szCs w:val="25"/>
      <w:lang w:val="es-ES" w:eastAsia="es-ES" w:bidi="es-ES"/>
    </w:rPr>
  </w:style>
  <w:style w:type="paragraph" w:styleId="Ttulo3">
    <w:name w:val="heading 3"/>
    <w:basedOn w:val="Normal"/>
    <w:next w:val="Normal"/>
    <w:rsid w:val="00C82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82B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82BE2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rsid w:val="00C82BE2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82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82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2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2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fdenotaalpie1">
    <w:name w:val="Ref. de nota al pie1"/>
    <w:uiPriority w:val="99"/>
    <w:semiHidden/>
    <w:unhideWhenUsed/>
    <w:rsid w:val="006D12EE"/>
    <w:rPr>
      <w:vertAlign w:val="superscript"/>
    </w:rPr>
  </w:style>
  <w:style w:type="paragraph" w:customStyle="1" w:styleId="Default">
    <w:name w:val="Default"/>
    <w:rsid w:val="006D12EE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sid w:val="006D12E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link w:val="Textonotapie1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6D12EE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12EE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6D12EE"/>
    <w:rPr>
      <w:rFonts w:ascii="Calibri" w:eastAsia="Calibri" w:hAnsi="Calibri" w:cs="Times New Roman"/>
      <w:szCs w:val="20"/>
    </w:rPr>
  </w:style>
  <w:style w:type="character" w:customStyle="1" w:styleId="A1">
    <w:name w:val="A1"/>
    <w:uiPriority w:val="99"/>
    <w:rsid w:val="006D12EE"/>
    <w:rPr>
      <w:rFonts w:cs="Verdana"/>
      <w:color w:val="000000"/>
      <w:sz w:val="22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D12EE"/>
    <w:pPr>
      <w:keepNext/>
      <w:keepLines/>
      <w:spacing w:before="200" w:after="0"/>
    </w:pPr>
    <w:rPr>
      <w:rFonts w:ascii="Cambria" w:eastAsia="Times New Roman" w:hAnsi="Cambria"/>
      <w:b/>
      <w:color w:val="4F81BD"/>
    </w:rPr>
  </w:style>
  <w:style w:type="paragraph" w:styleId="Textocomentario">
    <w:name w:val="annotation text"/>
    <w:basedOn w:val="Normal"/>
    <w:link w:val="TextocomentarioCar1"/>
    <w:uiPriority w:val="99"/>
    <w:unhideWhenUsed/>
    <w:rsid w:val="006D12E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D12EE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6D12EE"/>
    <w:rPr>
      <w:sz w:val="16"/>
      <w:szCs w:val="16"/>
    </w:rPr>
  </w:style>
  <w:style w:type="paragraph" w:styleId="Textonotapie">
    <w:name w:val="footnote text"/>
    <w:basedOn w:val="Normal"/>
    <w:link w:val="TextonotapieCar1"/>
    <w:uiPriority w:val="99"/>
    <w:unhideWhenUsed/>
    <w:rsid w:val="006D12EE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character" w:customStyle="1" w:styleId="TextonotapieCar1">
    <w:name w:val="Texto nota pie Car1"/>
    <w:link w:val="Textonotapie"/>
    <w:uiPriority w:val="99"/>
    <w:rsid w:val="006D12E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D12EE"/>
    <w:rPr>
      <w:vertAlign w:val="superscript"/>
    </w:rPr>
  </w:style>
  <w:style w:type="character" w:customStyle="1" w:styleId="fontstyle01">
    <w:name w:val="fontstyle01"/>
    <w:rsid w:val="006D12EE"/>
    <w:rPr>
      <w:rFonts w:ascii="HelveticaNeueLTStd-Roman" w:hAnsi="HelveticaNeueLTStd-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2EE"/>
    <w:rPr>
      <w:rFonts w:ascii="Tahoma" w:eastAsia="Calibri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42C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8C542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85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99"/>
    <w:qFormat/>
    <w:rsid w:val="00DB3F5E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ipervnculo">
    <w:name w:val="Hyperlink"/>
    <w:rsid w:val="001536C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536CA"/>
    <w:rPr>
      <w:i/>
      <w:iCs/>
    </w:rPr>
  </w:style>
  <w:style w:type="paragraph" w:styleId="Textoindependiente">
    <w:name w:val="Body Text"/>
    <w:basedOn w:val="Normal"/>
    <w:link w:val="TextoindependienteCar"/>
    <w:rsid w:val="00B41EDB"/>
    <w:pPr>
      <w:shd w:val="clear" w:color="auto" w:fill="FFFFFF"/>
      <w:suppressAutoHyphens/>
      <w:spacing w:before="100" w:beforeAutospacing="1" w:after="0" w:line="240" w:lineRule="auto"/>
    </w:pPr>
    <w:rPr>
      <w:rFonts w:ascii="Times New Roman" w:eastAsia="Times New Roman" w:hAnsi="Times New Roman"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41EDB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D900F7"/>
    <w:rPr>
      <w:rFonts w:ascii="Times New Roman" w:eastAsia="Times New Roman" w:hAnsi="Times New Roman" w:cs="Times New Roman"/>
      <w:sz w:val="25"/>
      <w:szCs w:val="25"/>
      <w:lang w:val="es-ES" w:eastAsia="es-ES" w:bidi="es-ES"/>
    </w:rPr>
  </w:style>
  <w:style w:type="paragraph" w:styleId="Revisin">
    <w:name w:val="Revision"/>
    <w:hidden/>
    <w:uiPriority w:val="99"/>
    <w:semiHidden/>
    <w:rsid w:val="008D4560"/>
    <w:pPr>
      <w:spacing w:after="0" w:line="240" w:lineRule="auto"/>
    </w:pPr>
    <w:rPr>
      <w:rFonts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F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76"/>
    <w:rPr>
      <w:rFonts w:ascii="Calibri" w:eastAsia="Calibri" w:hAnsi="Calibri" w:cs="Times New Roman"/>
      <w:szCs w:val="20"/>
    </w:rPr>
  </w:style>
  <w:style w:type="paragraph" w:styleId="Piedepgina">
    <w:name w:val="footer"/>
    <w:basedOn w:val="Normal"/>
    <w:link w:val="PiedepginaCar1"/>
    <w:uiPriority w:val="99"/>
    <w:unhideWhenUsed/>
    <w:rsid w:val="00AF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AF6876"/>
    <w:rPr>
      <w:rFonts w:ascii="Calibri" w:eastAsia="Calibri" w:hAnsi="Calibri" w:cs="Times New Roman"/>
      <w:szCs w:val="20"/>
    </w:rPr>
  </w:style>
  <w:style w:type="character" w:customStyle="1" w:styleId="fontstyle21">
    <w:name w:val="fontstyle21"/>
    <w:basedOn w:val="Fuentedeprrafopredeter"/>
    <w:rsid w:val="00445EE8"/>
    <w:rPr>
      <w:rFonts w:ascii="CaeciliaLTStd-Italic" w:hAnsi="CaeciliaLTStd-Italic" w:hint="default"/>
      <w:b w:val="0"/>
      <w:bCs w:val="0"/>
      <w:i/>
      <w:iCs/>
      <w:color w:val="000000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2B2EF9"/>
    <w:rPr>
      <w:b/>
      <w:bCs/>
    </w:rPr>
  </w:style>
  <w:style w:type="paragraph" w:styleId="Subttulo">
    <w:name w:val="Subtitle"/>
    <w:basedOn w:val="Normal"/>
    <w:next w:val="Normal"/>
    <w:rsid w:val="00C82B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D12EE"/>
    <w:rPr>
      <w:rFonts w:cs="Times New Roman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5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D900F7"/>
    <w:pPr>
      <w:widowControl w:val="0"/>
      <w:autoSpaceDE w:val="0"/>
      <w:autoSpaceDN w:val="0"/>
      <w:spacing w:after="0" w:line="240" w:lineRule="auto"/>
      <w:ind w:left="466"/>
      <w:outlineLvl w:val="1"/>
    </w:pPr>
    <w:rPr>
      <w:rFonts w:ascii="Times New Roman" w:eastAsia="Times New Roman" w:hAnsi="Times New Roman"/>
      <w:sz w:val="25"/>
      <w:szCs w:val="25"/>
      <w:lang w:val="es-ES" w:eastAsia="es-ES" w:bidi="es-E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fdenotaalpie1">
    <w:name w:val="Ref. de nota al pie1"/>
    <w:uiPriority w:val="99"/>
    <w:semiHidden/>
    <w:unhideWhenUsed/>
    <w:rsid w:val="006D12EE"/>
    <w:rPr>
      <w:vertAlign w:val="superscript"/>
    </w:rPr>
  </w:style>
  <w:style w:type="paragraph" w:customStyle="1" w:styleId="Default">
    <w:name w:val="Default"/>
    <w:rsid w:val="006D12EE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sid w:val="006D12EE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link w:val="Textonotapie1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6D12EE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12EE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6D12EE"/>
    <w:rPr>
      <w:rFonts w:ascii="Calibri" w:eastAsia="Calibri" w:hAnsi="Calibri" w:cs="Times New Roman"/>
      <w:szCs w:val="20"/>
    </w:rPr>
  </w:style>
  <w:style w:type="character" w:customStyle="1" w:styleId="A1">
    <w:name w:val="A1"/>
    <w:uiPriority w:val="99"/>
    <w:rsid w:val="006D12EE"/>
    <w:rPr>
      <w:rFonts w:cs="Verdana"/>
      <w:color w:val="000000"/>
      <w:sz w:val="22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D12EE"/>
    <w:pPr>
      <w:keepNext/>
      <w:keepLines/>
      <w:spacing w:before="200" w:after="0"/>
    </w:pPr>
    <w:rPr>
      <w:rFonts w:ascii="Cambria" w:eastAsia="Times New Roman" w:hAnsi="Cambria"/>
      <w:b/>
      <w:color w:val="4F81BD"/>
    </w:rPr>
  </w:style>
  <w:style w:type="paragraph" w:styleId="Textocomentario">
    <w:name w:val="annotation text"/>
    <w:basedOn w:val="Normal"/>
    <w:link w:val="TextocomentarioCar1"/>
    <w:uiPriority w:val="99"/>
    <w:unhideWhenUsed/>
    <w:rsid w:val="006D12E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D12EE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6D12EE"/>
    <w:rPr>
      <w:sz w:val="16"/>
      <w:szCs w:val="16"/>
    </w:rPr>
  </w:style>
  <w:style w:type="paragraph" w:styleId="Textonotapie">
    <w:name w:val="footnote text"/>
    <w:basedOn w:val="Normal"/>
    <w:link w:val="TextonotapieCar1"/>
    <w:uiPriority w:val="99"/>
    <w:unhideWhenUsed/>
    <w:rsid w:val="006D12EE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uiPriority w:val="99"/>
    <w:semiHidden/>
    <w:rsid w:val="006D12EE"/>
    <w:rPr>
      <w:rFonts w:ascii="Calibri" w:eastAsia="Calibri" w:hAnsi="Calibri" w:cs="Times New Roman"/>
      <w:sz w:val="20"/>
      <w:szCs w:val="20"/>
    </w:rPr>
  </w:style>
  <w:style w:type="character" w:customStyle="1" w:styleId="TextonotapieCar1">
    <w:name w:val="Texto nota pie Car1"/>
    <w:link w:val="Textonotapie"/>
    <w:uiPriority w:val="99"/>
    <w:rsid w:val="006D12E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6D12EE"/>
    <w:rPr>
      <w:vertAlign w:val="superscript"/>
    </w:rPr>
  </w:style>
  <w:style w:type="character" w:customStyle="1" w:styleId="fontstyle01">
    <w:name w:val="fontstyle01"/>
    <w:rsid w:val="006D12EE"/>
    <w:rPr>
      <w:rFonts w:ascii="HelveticaNeueLTStd-Roman" w:hAnsi="HelveticaNeueLTStd-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2EE"/>
    <w:rPr>
      <w:rFonts w:ascii="Tahoma" w:eastAsia="Calibri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42C"/>
    <w:rPr>
      <w:b/>
      <w:bCs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8C542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85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99"/>
    <w:qFormat/>
    <w:rsid w:val="00DB3F5E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ipervnculo">
    <w:name w:val="Hyperlink"/>
    <w:rsid w:val="001536C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536CA"/>
    <w:rPr>
      <w:i/>
      <w:iCs/>
    </w:rPr>
  </w:style>
  <w:style w:type="paragraph" w:styleId="Textoindependiente">
    <w:name w:val="Body Text"/>
    <w:basedOn w:val="Normal"/>
    <w:link w:val="TextoindependienteCar"/>
    <w:rsid w:val="00B41EDB"/>
    <w:pPr>
      <w:shd w:val="clear" w:color="auto" w:fill="FFFFFF"/>
      <w:suppressAutoHyphens/>
      <w:spacing w:before="100" w:beforeAutospacing="1" w:after="0" w:line="240" w:lineRule="auto"/>
    </w:pPr>
    <w:rPr>
      <w:rFonts w:ascii="Times New Roman" w:eastAsia="Times New Roman" w:hAnsi="Times New Roman"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41EDB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D900F7"/>
    <w:rPr>
      <w:rFonts w:ascii="Times New Roman" w:eastAsia="Times New Roman" w:hAnsi="Times New Roman" w:cs="Times New Roman"/>
      <w:sz w:val="25"/>
      <w:szCs w:val="25"/>
      <w:lang w:val="es-ES" w:eastAsia="es-ES" w:bidi="es-ES"/>
    </w:rPr>
  </w:style>
  <w:style w:type="paragraph" w:styleId="Revisin">
    <w:name w:val="Revision"/>
    <w:hidden/>
    <w:uiPriority w:val="99"/>
    <w:semiHidden/>
    <w:rsid w:val="008D4560"/>
    <w:pPr>
      <w:spacing w:after="0" w:line="240" w:lineRule="auto"/>
    </w:pPr>
    <w:rPr>
      <w:rFonts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F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76"/>
    <w:rPr>
      <w:rFonts w:ascii="Calibri" w:eastAsia="Calibri" w:hAnsi="Calibri" w:cs="Times New Roman"/>
      <w:szCs w:val="20"/>
    </w:rPr>
  </w:style>
  <w:style w:type="paragraph" w:styleId="Piedepgina">
    <w:name w:val="footer"/>
    <w:basedOn w:val="Normal"/>
    <w:link w:val="PiedepginaCar1"/>
    <w:uiPriority w:val="99"/>
    <w:unhideWhenUsed/>
    <w:rsid w:val="00AF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AF6876"/>
    <w:rPr>
      <w:rFonts w:ascii="Calibri" w:eastAsia="Calibri" w:hAnsi="Calibri" w:cs="Times New Roman"/>
      <w:szCs w:val="20"/>
    </w:rPr>
  </w:style>
  <w:style w:type="character" w:customStyle="1" w:styleId="fontstyle21">
    <w:name w:val="fontstyle21"/>
    <w:basedOn w:val="Fuentedeprrafopredeter"/>
    <w:rsid w:val="00445EE8"/>
    <w:rPr>
      <w:rFonts w:ascii="CaeciliaLTStd-Italic" w:hAnsi="CaeciliaLTStd-Italic" w:hint="default"/>
      <w:b w:val="0"/>
      <w:bCs w:val="0"/>
      <w:i/>
      <w:iCs/>
      <w:color w:val="000000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2B2EF9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8e4Pl6TUB6aUO6Ex77Mgr621g==">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A558E-208A-4450-9787-E8A4AFD9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2789</Words>
  <Characters>15342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Ariel Manzano</dc:creator>
  <cp:lastModifiedBy>adela</cp:lastModifiedBy>
  <cp:revision>5</cp:revision>
  <cp:lastPrinted>2020-08-11T11:39:00Z</cp:lastPrinted>
  <dcterms:created xsi:type="dcterms:W3CDTF">2020-08-12T12:02:00Z</dcterms:created>
  <dcterms:modified xsi:type="dcterms:W3CDTF">2020-08-12T15:57:00Z</dcterms:modified>
</cp:coreProperties>
</file>